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28D" w:rsidRPr="006D357C" w:rsidRDefault="0074428D" w:rsidP="00015B63">
      <w:pPr>
        <w:spacing w:after="0" w:line="240" w:lineRule="auto"/>
        <w:rPr>
          <w:sz w:val="24"/>
          <w:szCs w:val="24"/>
        </w:rPr>
      </w:pPr>
    </w:p>
    <w:p w:rsidR="0074428D" w:rsidRDefault="0074428D" w:rsidP="00015B63">
      <w:pPr>
        <w:spacing w:after="0" w:line="240" w:lineRule="auto"/>
        <w:rPr>
          <w:b/>
          <w:sz w:val="24"/>
          <w:szCs w:val="24"/>
        </w:rPr>
      </w:pPr>
      <w:r>
        <w:rPr>
          <w:b/>
          <w:sz w:val="24"/>
          <w:szCs w:val="24"/>
        </w:rPr>
        <w:t>INTRODUCTION and BACKGROUND</w:t>
      </w:r>
    </w:p>
    <w:p w:rsidR="0074428D" w:rsidRDefault="0074428D" w:rsidP="00015B63">
      <w:pPr>
        <w:spacing w:after="0" w:line="240" w:lineRule="auto"/>
        <w:rPr>
          <w:b/>
          <w:sz w:val="24"/>
          <w:szCs w:val="24"/>
        </w:rPr>
      </w:pPr>
    </w:p>
    <w:p w:rsidR="0074428D" w:rsidRDefault="0074428D" w:rsidP="00015B63">
      <w:pPr>
        <w:spacing w:after="0" w:line="240" w:lineRule="auto"/>
        <w:rPr>
          <w:sz w:val="24"/>
          <w:szCs w:val="24"/>
        </w:rPr>
      </w:pPr>
      <w:r>
        <w:rPr>
          <w:sz w:val="24"/>
          <w:szCs w:val="24"/>
        </w:rPr>
        <w:t xml:space="preserve">This Primary Care Needs Assessment identifies communities in </w:t>
      </w:r>
      <w:smartTag w:uri="urn:schemas-microsoft-com:office:smarttags" w:element="State">
        <w:smartTag w:uri="urn:schemas-microsoft-com:office:smarttags" w:element="place">
          <w:r>
            <w:rPr>
              <w:sz w:val="24"/>
              <w:szCs w:val="24"/>
            </w:rPr>
            <w:t>Nevada</w:t>
          </w:r>
        </w:smartTag>
      </w:smartTag>
      <w:r>
        <w:rPr>
          <w:sz w:val="24"/>
          <w:szCs w:val="24"/>
        </w:rPr>
        <w:t xml:space="preserve"> with the greatest unmet health needs as well as health disparities through comparisons across communities and populations.  There are many lenses through which health needs can be viewed, and the Primary Care Office (PCO) has a very distinct lens with the health professional shortage area (HPSA) designation process.  Incorporating population-to-provider ratios with data for population health, demographics and geographic features within a </w:t>
      </w:r>
      <w:r>
        <w:rPr>
          <w:i/>
          <w:sz w:val="24"/>
          <w:szCs w:val="24"/>
        </w:rPr>
        <w:t xml:space="preserve">rational service area, </w:t>
      </w:r>
      <w:r>
        <w:rPr>
          <w:sz w:val="24"/>
          <w:szCs w:val="24"/>
        </w:rPr>
        <w:t>the designation process is a reasonable foundation for directing resources toward the greatest unmet health needs.</w:t>
      </w:r>
    </w:p>
    <w:p w:rsidR="0074428D" w:rsidRDefault="0074428D" w:rsidP="00015B63">
      <w:pPr>
        <w:spacing w:after="0" w:line="240" w:lineRule="auto"/>
        <w:rPr>
          <w:sz w:val="24"/>
          <w:szCs w:val="24"/>
        </w:rPr>
      </w:pPr>
    </w:p>
    <w:p w:rsidR="0074428D" w:rsidRDefault="0074428D" w:rsidP="00015B63">
      <w:pPr>
        <w:spacing w:after="0" w:line="240" w:lineRule="auto"/>
        <w:rPr>
          <w:sz w:val="24"/>
          <w:szCs w:val="24"/>
        </w:rPr>
      </w:pPr>
      <w:r>
        <w:rPr>
          <w:sz w:val="24"/>
          <w:szCs w:val="24"/>
        </w:rPr>
        <w:t xml:space="preserve">The PCO is the only </w:t>
      </w:r>
      <w:r w:rsidRPr="00B37B94">
        <w:rPr>
          <w:i/>
          <w:sz w:val="24"/>
          <w:szCs w:val="24"/>
        </w:rPr>
        <w:t>resource</w:t>
      </w:r>
      <w:r>
        <w:rPr>
          <w:sz w:val="24"/>
          <w:szCs w:val="24"/>
        </w:rPr>
        <w:t xml:space="preserve"> in the state to collect the data necessary to calculate population-to-provider ratios, consistent with requirements under the federal Health Resources Services Administration (HRSA)</w:t>
      </w:r>
      <w:r w:rsidR="00CF65F8">
        <w:rPr>
          <w:sz w:val="24"/>
          <w:szCs w:val="24"/>
        </w:rPr>
        <w:t>, Shortage Designation Branch (SDB)</w:t>
      </w:r>
      <w:r>
        <w:rPr>
          <w:sz w:val="24"/>
          <w:szCs w:val="24"/>
        </w:rPr>
        <w:t xml:space="preserve">.  Partnering programs within the Division of Public and Behavioral Health (DPBH), Department of Health and Human Services (DHHS), as well as other state and community-based partners, are essential </w:t>
      </w:r>
      <w:r w:rsidRPr="00B37B94">
        <w:rPr>
          <w:i/>
          <w:sz w:val="24"/>
          <w:szCs w:val="24"/>
        </w:rPr>
        <w:t>resources</w:t>
      </w:r>
      <w:r>
        <w:rPr>
          <w:sz w:val="24"/>
          <w:szCs w:val="24"/>
        </w:rPr>
        <w:t xml:space="preserve"> for data on population health, demographic and geographic features.</w:t>
      </w:r>
    </w:p>
    <w:p w:rsidR="0074428D" w:rsidRDefault="0074428D" w:rsidP="00015B63">
      <w:pPr>
        <w:spacing w:after="0" w:line="240" w:lineRule="auto"/>
        <w:rPr>
          <w:sz w:val="24"/>
          <w:szCs w:val="24"/>
        </w:rPr>
      </w:pPr>
    </w:p>
    <w:p w:rsidR="0074428D" w:rsidRDefault="0074428D" w:rsidP="00015B63">
      <w:pPr>
        <w:spacing w:after="0" w:line="240" w:lineRule="auto"/>
        <w:rPr>
          <w:sz w:val="24"/>
          <w:szCs w:val="24"/>
        </w:rPr>
      </w:pPr>
      <w:r>
        <w:rPr>
          <w:sz w:val="24"/>
          <w:szCs w:val="24"/>
        </w:rPr>
        <w:t xml:space="preserve">Following a brief section on </w:t>
      </w:r>
      <w:r w:rsidRPr="00B37B94">
        <w:rPr>
          <w:b/>
          <w:sz w:val="24"/>
          <w:szCs w:val="24"/>
        </w:rPr>
        <w:t>Methodology</w:t>
      </w:r>
      <w:r>
        <w:rPr>
          <w:sz w:val="24"/>
          <w:szCs w:val="24"/>
        </w:rPr>
        <w:t xml:space="preserve">, this report is generally organized according to these </w:t>
      </w:r>
      <w:r w:rsidRPr="00B37B94">
        <w:rPr>
          <w:i/>
          <w:sz w:val="24"/>
          <w:szCs w:val="24"/>
        </w:rPr>
        <w:t>resources</w:t>
      </w:r>
      <w:r>
        <w:rPr>
          <w:sz w:val="24"/>
          <w:szCs w:val="24"/>
        </w:rPr>
        <w:t xml:space="preserve">, with </w:t>
      </w:r>
      <w:r w:rsidRPr="00B37B94">
        <w:rPr>
          <w:b/>
          <w:sz w:val="24"/>
          <w:szCs w:val="24"/>
        </w:rPr>
        <w:t>Nevada Data and Rankings</w:t>
      </w:r>
      <w:r>
        <w:rPr>
          <w:sz w:val="24"/>
          <w:szCs w:val="24"/>
        </w:rPr>
        <w:t xml:space="preserve"> primarily from the DHHS quarterly report, </w:t>
      </w:r>
      <w:r w:rsidRPr="00B37B94">
        <w:rPr>
          <w:b/>
          <w:sz w:val="24"/>
          <w:szCs w:val="24"/>
        </w:rPr>
        <w:t>Unmet Health Care Needs and Disparities</w:t>
      </w:r>
      <w:r>
        <w:rPr>
          <w:sz w:val="24"/>
          <w:szCs w:val="24"/>
        </w:rPr>
        <w:t xml:space="preserve"> primarily from the Maternal and Child Health Five Year Needs Assessment, and </w:t>
      </w:r>
      <w:r w:rsidRPr="00B37B94">
        <w:rPr>
          <w:b/>
          <w:sz w:val="24"/>
          <w:szCs w:val="24"/>
        </w:rPr>
        <w:t>Health Professional Shortage Area Designations</w:t>
      </w:r>
      <w:r>
        <w:rPr>
          <w:sz w:val="24"/>
          <w:szCs w:val="24"/>
        </w:rPr>
        <w:t xml:space="preserve"> reflecting the provider data collection from the PCO, together with our partner resources to establish and maintain the resulting designations for primary, dental and behavioral health care.</w:t>
      </w:r>
    </w:p>
    <w:p w:rsidR="0074428D" w:rsidRDefault="0074428D" w:rsidP="00015B63">
      <w:pPr>
        <w:spacing w:after="0" w:line="240" w:lineRule="auto"/>
        <w:rPr>
          <w:sz w:val="24"/>
          <w:szCs w:val="24"/>
        </w:rPr>
      </w:pPr>
    </w:p>
    <w:p w:rsidR="0074428D" w:rsidRDefault="0074428D" w:rsidP="00015B63">
      <w:pPr>
        <w:spacing w:after="0" w:line="240" w:lineRule="auto"/>
        <w:rPr>
          <w:sz w:val="24"/>
          <w:szCs w:val="24"/>
        </w:rPr>
      </w:pPr>
      <w:r>
        <w:rPr>
          <w:sz w:val="24"/>
          <w:szCs w:val="24"/>
        </w:rPr>
        <w:t xml:space="preserve">The single greatest factor resulting in HPSA designations is the severe shortage of providers that is experienced throughout our state.  Health care coverage expansion under the Affordable Care Act has resulted in a 73% increase in our state Medicaid enrollments, creating even more demand for providers.  Consequently, primary care workforce development is not only a priority for the PCO, but for all of DHHS.  State funding has been approved for two new positions to expand the PCO in the current biennium, with plans to transition our programs into the DHHS Director’s Office in the next biennium.  The last section of our report, </w:t>
      </w:r>
      <w:r w:rsidRPr="00874D61">
        <w:rPr>
          <w:b/>
          <w:sz w:val="24"/>
          <w:szCs w:val="24"/>
        </w:rPr>
        <w:t>Primary Care Workforce Development Recommendations and Initiatives</w:t>
      </w:r>
      <w:r>
        <w:rPr>
          <w:sz w:val="24"/>
          <w:szCs w:val="24"/>
        </w:rPr>
        <w:t>, elaborates this expanded workload that leverages a health professional pipeline mapping project from 2014.</w:t>
      </w:r>
    </w:p>
    <w:p w:rsidR="0074428D" w:rsidRDefault="0074428D" w:rsidP="00015B63">
      <w:pPr>
        <w:spacing w:after="0" w:line="240" w:lineRule="auto"/>
        <w:rPr>
          <w:sz w:val="24"/>
          <w:szCs w:val="24"/>
        </w:rPr>
      </w:pPr>
    </w:p>
    <w:p w:rsidR="0074428D" w:rsidRDefault="0074428D" w:rsidP="00015B63">
      <w:pPr>
        <w:spacing w:after="0" w:line="240" w:lineRule="auto"/>
        <w:rPr>
          <w:sz w:val="24"/>
          <w:szCs w:val="24"/>
        </w:rPr>
      </w:pPr>
    </w:p>
    <w:p w:rsidR="0074428D" w:rsidRPr="00874D61" w:rsidRDefault="0074428D" w:rsidP="00015B63">
      <w:pPr>
        <w:spacing w:after="0" w:line="240" w:lineRule="auto"/>
        <w:rPr>
          <w:b/>
          <w:sz w:val="24"/>
          <w:szCs w:val="24"/>
        </w:rPr>
      </w:pPr>
      <w:r w:rsidRPr="00874D61">
        <w:rPr>
          <w:b/>
          <w:sz w:val="24"/>
          <w:szCs w:val="24"/>
        </w:rPr>
        <w:t>METHODOLOGY</w:t>
      </w:r>
    </w:p>
    <w:p w:rsidR="0074428D" w:rsidRDefault="0074428D" w:rsidP="00015B63">
      <w:pPr>
        <w:spacing w:after="0" w:line="240" w:lineRule="auto"/>
        <w:rPr>
          <w:sz w:val="24"/>
          <w:szCs w:val="24"/>
        </w:rPr>
      </w:pPr>
    </w:p>
    <w:p w:rsidR="0074428D" w:rsidRDefault="0074428D" w:rsidP="00015B63">
      <w:pPr>
        <w:spacing w:after="0" w:line="240" w:lineRule="auto"/>
        <w:rPr>
          <w:sz w:val="24"/>
          <w:szCs w:val="24"/>
        </w:rPr>
      </w:pPr>
      <w:r>
        <w:rPr>
          <w:sz w:val="24"/>
          <w:szCs w:val="24"/>
          <w:u w:val="single"/>
        </w:rPr>
        <w:lastRenderedPageBreak/>
        <w:t>Data Collection</w:t>
      </w:r>
    </w:p>
    <w:p w:rsidR="0074428D" w:rsidRDefault="0074428D" w:rsidP="00015B63">
      <w:pPr>
        <w:spacing w:after="0" w:line="240" w:lineRule="auto"/>
        <w:rPr>
          <w:sz w:val="24"/>
          <w:szCs w:val="24"/>
        </w:rPr>
      </w:pPr>
    </w:p>
    <w:p w:rsidR="0074428D" w:rsidRPr="007D4A8A" w:rsidRDefault="0074428D" w:rsidP="00015B63">
      <w:pPr>
        <w:spacing w:after="0" w:line="240" w:lineRule="auto"/>
        <w:rPr>
          <w:sz w:val="24"/>
          <w:szCs w:val="24"/>
        </w:rPr>
      </w:pPr>
      <w:r>
        <w:rPr>
          <w:sz w:val="24"/>
          <w:szCs w:val="24"/>
        </w:rPr>
        <w:t xml:space="preserve">The PCO conducts primary data collection through provider surveys.  Online surveys are published biennially in collaboration with the Medical, Osteopathic and Dental licensing boards, but the majority of information is collected through phone surveys and direct outreach to health care collectives, clinics and individual providers. Psychiatrists are included under the Medical Board, and we do not collect data on other behavioral health professionals due to insufficient resources.  These data are featured in the section on </w:t>
      </w:r>
      <w:r w:rsidRPr="00CE7E52">
        <w:rPr>
          <w:b/>
          <w:sz w:val="24"/>
          <w:szCs w:val="24"/>
        </w:rPr>
        <w:t>Health Professional Shortage Area Designations</w:t>
      </w:r>
      <w:r>
        <w:rPr>
          <w:sz w:val="24"/>
          <w:szCs w:val="24"/>
        </w:rPr>
        <w:t xml:space="preserve">.  This year, the PCO also collected primary data through a survey of all the professional health licensing boards, as referenced in the </w:t>
      </w:r>
      <w:r w:rsidRPr="00A3097C">
        <w:rPr>
          <w:b/>
          <w:sz w:val="24"/>
          <w:szCs w:val="24"/>
        </w:rPr>
        <w:t>Workforce Development</w:t>
      </w:r>
      <w:r>
        <w:rPr>
          <w:sz w:val="24"/>
          <w:szCs w:val="24"/>
        </w:rPr>
        <w:t xml:space="preserve"> section.  In 2014, the PCO Manager coordinated the Behavioral Health Professional Pipeline Mapping Project, which included </w:t>
      </w:r>
      <w:r w:rsidR="00CF65F8">
        <w:rPr>
          <w:sz w:val="24"/>
          <w:szCs w:val="24"/>
        </w:rPr>
        <w:t xml:space="preserve">facilitated </w:t>
      </w:r>
      <w:r>
        <w:rPr>
          <w:sz w:val="24"/>
          <w:szCs w:val="24"/>
        </w:rPr>
        <w:t xml:space="preserve">discussion groups across multiple professions, with various stakeholders; resulting recommendations are included in the </w:t>
      </w:r>
      <w:r>
        <w:rPr>
          <w:b/>
          <w:sz w:val="24"/>
          <w:szCs w:val="24"/>
        </w:rPr>
        <w:t xml:space="preserve">Workforce Development </w:t>
      </w:r>
      <w:r>
        <w:rPr>
          <w:sz w:val="24"/>
          <w:szCs w:val="24"/>
        </w:rPr>
        <w:t>section.</w:t>
      </w:r>
    </w:p>
    <w:p w:rsidR="0074428D" w:rsidRDefault="0074428D" w:rsidP="00015B63">
      <w:pPr>
        <w:spacing w:after="0" w:line="240" w:lineRule="auto"/>
        <w:rPr>
          <w:sz w:val="24"/>
          <w:szCs w:val="24"/>
        </w:rPr>
      </w:pPr>
    </w:p>
    <w:p w:rsidR="0074428D" w:rsidRPr="007D4A8A" w:rsidRDefault="0074428D" w:rsidP="00015B63">
      <w:pPr>
        <w:spacing w:after="0" w:line="240" w:lineRule="auto"/>
        <w:rPr>
          <w:sz w:val="24"/>
          <w:szCs w:val="24"/>
        </w:rPr>
      </w:pPr>
      <w:r>
        <w:rPr>
          <w:sz w:val="24"/>
          <w:szCs w:val="24"/>
        </w:rPr>
        <w:t xml:space="preserve">All other data in this report are from secondary sources.  The DHHS Director’s Office compiles Nevada rankings across a broad range of national measures of economic, health and social well-being on a quarterly basis; this resource makes up the majority of the section on </w:t>
      </w:r>
      <w:r>
        <w:rPr>
          <w:b/>
          <w:sz w:val="24"/>
          <w:szCs w:val="24"/>
        </w:rPr>
        <w:t xml:space="preserve">Nevada Data and Rankings.  </w:t>
      </w:r>
      <w:r>
        <w:rPr>
          <w:sz w:val="24"/>
          <w:szCs w:val="24"/>
        </w:rPr>
        <w:t xml:space="preserve">The Maternal, Child and Adolescent Health program within DPBH conducted a Five-Year Needs Assessment, from which data is taken for much of the section on </w:t>
      </w:r>
      <w:r>
        <w:rPr>
          <w:b/>
          <w:sz w:val="24"/>
          <w:szCs w:val="24"/>
        </w:rPr>
        <w:t xml:space="preserve">Unmet Health Care Needs and Disparities.  </w:t>
      </w:r>
      <w:r>
        <w:rPr>
          <w:sz w:val="24"/>
          <w:szCs w:val="24"/>
        </w:rPr>
        <w:t>Footnotes are provided throughout the report to identify specific data sources, with inclusion of hotlinks to Internet sources in many cases.</w:t>
      </w:r>
    </w:p>
    <w:p w:rsidR="0074428D" w:rsidRDefault="0074428D" w:rsidP="00015B63">
      <w:pPr>
        <w:spacing w:after="0" w:line="240" w:lineRule="auto"/>
        <w:rPr>
          <w:sz w:val="24"/>
          <w:szCs w:val="24"/>
        </w:rPr>
      </w:pPr>
    </w:p>
    <w:p w:rsidR="0074428D" w:rsidRDefault="0074428D" w:rsidP="00015B63">
      <w:pPr>
        <w:spacing w:after="0" w:line="240" w:lineRule="auto"/>
        <w:rPr>
          <w:sz w:val="24"/>
          <w:szCs w:val="24"/>
        </w:rPr>
      </w:pPr>
      <w:r>
        <w:rPr>
          <w:sz w:val="24"/>
          <w:szCs w:val="24"/>
          <w:u w:val="single"/>
        </w:rPr>
        <w:t>Strengths and Limitations</w:t>
      </w:r>
    </w:p>
    <w:p w:rsidR="0074428D" w:rsidRDefault="0074428D" w:rsidP="00015B63">
      <w:pPr>
        <w:spacing w:after="0" w:line="240" w:lineRule="auto"/>
        <w:rPr>
          <w:sz w:val="24"/>
          <w:szCs w:val="24"/>
        </w:rPr>
      </w:pPr>
    </w:p>
    <w:p w:rsidR="0074428D" w:rsidRDefault="0074428D" w:rsidP="00015B63">
      <w:pPr>
        <w:spacing w:after="0" w:line="240" w:lineRule="auto"/>
        <w:rPr>
          <w:sz w:val="24"/>
          <w:szCs w:val="24"/>
        </w:rPr>
      </w:pPr>
      <w:r>
        <w:rPr>
          <w:sz w:val="24"/>
          <w:szCs w:val="24"/>
        </w:rPr>
        <w:t>The volume of data and the diverse range of sources included in this report add both breadth and depth to create a robust assessment of primary care need in Nevada.  While much of the data speaks for itself in terms of relative health status of different target populations across different measures, it is challenging to summarize the data into a broad statement of need that accurately reflects all these measures.</w:t>
      </w:r>
    </w:p>
    <w:p w:rsidR="0074428D" w:rsidRDefault="0074428D" w:rsidP="00015B63">
      <w:pPr>
        <w:spacing w:after="0" w:line="240" w:lineRule="auto"/>
        <w:rPr>
          <w:sz w:val="24"/>
          <w:szCs w:val="24"/>
        </w:rPr>
      </w:pPr>
    </w:p>
    <w:p w:rsidR="0074428D" w:rsidRDefault="0074428D" w:rsidP="00015B63">
      <w:pPr>
        <w:spacing w:after="0" w:line="240" w:lineRule="auto"/>
        <w:rPr>
          <w:b/>
          <w:sz w:val="24"/>
          <w:szCs w:val="24"/>
        </w:rPr>
      </w:pPr>
      <w:r>
        <w:rPr>
          <w:sz w:val="24"/>
          <w:szCs w:val="24"/>
        </w:rPr>
        <w:t xml:space="preserve">The tool that is often utilized with policy-makers to broadly communicate need is a HPSA designation map that is created and published by our partners at the State Office of Rural Health.  A map is created for each designation category: primary, dental and behavioral health, with each biennial publication of the </w:t>
      </w:r>
      <w:r>
        <w:rPr>
          <w:i/>
          <w:sz w:val="24"/>
          <w:szCs w:val="24"/>
        </w:rPr>
        <w:t>Data Book.</w:t>
      </w:r>
      <w:r>
        <w:rPr>
          <w:sz w:val="24"/>
          <w:szCs w:val="24"/>
        </w:rPr>
        <w:t xml:space="preserve">  The 2015 maps are included in our section on </w:t>
      </w:r>
      <w:r>
        <w:rPr>
          <w:b/>
          <w:sz w:val="24"/>
          <w:szCs w:val="24"/>
        </w:rPr>
        <w:t xml:space="preserve">Health Professional Shortage Area Designations.  </w:t>
      </w:r>
    </w:p>
    <w:p w:rsidR="0074428D" w:rsidRDefault="0074428D" w:rsidP="00015B63">
      <w:pPr>
        <w:spacing w:after="0" w:line="240" w:lineRule="auto"/>
        <w:rPr>
          <w:b/>
          <w:sz w:val="24"/>
          <w:szCs w:val="24"/>
        </w:rPr>
      </w:pPr>
    </w:p>
    <w:p w:rsidR="0074428D" w:rsidRDefault="00CF65F8" w:rsidP="00015B63">
      <w:pPr>
        <w:spacing w:after="0" w:line="240" w:lineRule="auto"/>
        <w:rPr>
          <w:sz w:val="24"/>
          <w:szCs w:val="24"/>
        </w:rPr>
      </w:pPr>
      <w:r>
        <w:rPr>
          <w:sz w:val="24"/>
          <w:szCs w:val="24"/>
        </w:rPr>
        <w:t>A significant</w:t>
      </w:r>
      <w:r w:rsidR="0074428D">
        <w:rPr>
          <w:sz w:val="24"/>
          <w:szCs w:val="24"/>
        </w:rPr>
        <w:t xml:space="preserve"> limitation is the provider data collection method.  The survey process is labor intensive, unpredictable, and fraught with methodological weaknesses.  </w:t>
      </w:r>
    </w:p>
    <w:p w:rsidR="0074428D" w:rsidRDefault="0074428D" w:rsidP="00015B63">
      <w:pPr>
        <w:spacing w:after="0" w:line="240" w:lineRule="auto"/>
        <w:rPr>
          <w:sz w:val="24"/>
          <w:szCs w:val="24"/>
        </w:rPr>
      </w:pPr>
    </w:p>
    <w:p w:rsidR="0074428D" w:rsidRDefault="0074428D" w:rsidP="00857590">
      <w:pPr>
        <w:pStyle w:val="ListParagraph"/>
        <w:numPr>
          <w:ilvl w:val="0"/>
          <w:numId w:val="17"/>
        </w:numPr>
        <w:spacing w:after="0" w:line="240" w:lineRule="auto"/>
        <w:rPr>
          <w:sz w:val="24"/>
          <w:szCs w:val="24"/>
        </w:rPr>
      </w:pPr>
      <w:r w:rsidRPr="00857590">
        <w:rPr>
          <w:sz w:val="24"/>
          <w:szCs w:val="24"/>
        </w:rPr>
        <w:lastRenderedPageBreak/>
        <w:t>There is no requirement for providers to participate in the survey, so those who do participate</w:t>
      </w:r>
      <w:r>
        <w:rPr>
          <w:sz w:val="24"/>
          <w:szCs w:val="24"/>
        </w:rPr>
        <w:t xml:space="preserve"> may reflect a subset who are more likely to participate in government programs, thereby skewing the overall results toward higher Medicaid participation.</w:t>
      </w:r>
    </w:p>
    <w:p w:rsidR="0074428D" w:rsidRDefault="0074428D" w:rsidP="00857590">
      <w:pPr>
        <w:pStyle w:val="ListParagraph"/>
        <w:numPr>
          <w:ilvl w:val="0"/>
          <w:numId w:val="17"/>
        </w:numPr>
        <w:spacing w:after="0" w:line="240" w:lineRule="auto"/>
        <w:rPr>
          <w:sz w:val="24"/>
          <w:szCs w:val="24"/>
        </w:rPr>
      </w:pPr>
      <w:r>
        <w:rPr>
          <w:sz w:val="24"/>
          <w:szCs w:val="24"/>
        </w:rPr>
        <w:t>Survey respondents may be an Office Manager or support staff who don’t have actual data that can be provided to answer questions about rates of acceptance for Medicaid, Medicare or sliding-fee-scale.</w:t>
      </w:r>
    </w:p>
    <w:p w:rsidR="0074428D" w:rsidRDefault="0074428D" w:rsidP="00857590">
      <w:pPr>
        <w:pStyle w:val="ListParagraph"/>
        <w:numPr>
          <w:ilvl w:val="0"/>
          <w:numId w:val="17"/>
        </w:numPr>
        <w:spacing w:after="0" w:line="240" w:lineRule="auto"/>
        <w:rPr>
          <w:sz w:val="24"/>
          <w:szCs w:val="24"/>
        </w:rPr>
      </w:pPr>
      <w:r>
        <w:rPr>
          <w:sz w:val="24"/>
          <w:szCs w:val="24"/>
        </w:rPr>
        <w:t>Survey respondents</w:t>
      </w:r>
      <w:r w:rsidRPr="00857590">
        <w:rPr>
          <w:sz w:val="24"/>
          <w:szCs w:val="24"/>
        </w:rPr>
        <w:t xml:space="preserve"> </w:t>
      </w:r>
      <w:r>
        <w:rPr>
          <w:sz w:val="24"/>
          <w:szCs w:val="24"/>
        </w:rPr>
        <w:t>are typically asked to estimate the level of acceptance for Medicaid, Medicare or sliding-fee-scale, and typically overestimate that level, again skewing results toward higher Medicaid participation.</w:t>
      </w:r>
    </w:p>
    <w:p w:rsidR="0074428D" w:rsidRDefault="0074428D" w:rsidP="00857590">
      <w:pPr>
        <w:pStyle w:val="ListParagraph"/>
        <w:numPr>
          <w:ilvl w:val="0"/>
          <w:numId w:val="17"/>
        </w:numPr>
        <w:spacing w:after="0" w:line="240" w:lineRule="auto"/>
        <w:rPr>
          <w:sz w:val="24"/>
          <w:szCs w:val="24"/>
        </w:rPr>
      </w:pPr>
      <w:r>
        <w:rPr>
          <w:sz w:val="24"/>
          <w:szCs w:val="24"/>
        </w:rPr>
        <w:t>The HRSA requirement to survey two-thirds of the provider population in order to impute results to the whole target population is arbitrary and does not have any basis in statistical validity.  Random sampling with samples as small as 10% in urban areas would produce more accurate results with significantly less investment of time and effort from PCO staff.</w:t>
      </w:r>
    </w:p>
    <w:p w:rsidR="0074428D" w:rsidRDefault="0074428D" w:rsidP="00857590">
      <w:pPr>
        <w:pStyle w:val="ListParagraph"/>
        <w:numPr>
          <w:ilvl w:val="0"/>
          <w:numId w:val="17"/>
        </w:numPr>
        <w:spacing w:after="0" w:line="240" w:lineRule="auto"/>
        <w:rPr>
          <w:sz w:val="24"/>
          <w:szCs w:val="24"/>
        </w:rPr>
      </w:pPr>
      <w:r>
        <w:rPr>
          <w:sz w:val="24"/>
          <w:szCs w:val="24"/>
        </w:rPr>
        <w:t xml:space="preserve">The </w:t>
      </w:r>
      <w:r w:rsidR="00CF65F8">
        <w:rPr>
          <w:sz w:val="24"/>
          <w:szCs w:val="24"/>
        </w:rPr>
        <w:t xml:space="preserve">high volume of </w:t>
      </w:r>
      <w:r>
        <w:rPr>
          <w:sz w:val="24"/>
          <w:szCs w:val="24"/>
        </w:rPr>
        <w:t>manual data entry that is required for this process introduces another opportunity for error that could be greatly reduced with random sampling.</w:t>
      </w:r>
    </w:p>
    <w:p w:rsidR="0074428D" w:rsidRDefault="0074428D" w:rsidP="00275C20">
      <w:pPr>
        <w:spacing w:after="0" w:line="240" w:lineRule="auto"/>
        <w:rPr>
          <w:sz w:val="24"/>
          <w:szCs w:val="24"/>
        </w:rPr>
      </w:pPr>
    </w:p>
    <w:p w:rsidR="0074428D" w:rsidRPr="00275C20" w:rsidRDefault="0074428D" w:rsidP="00275C20">
      <w:pPr>
        <w:spacing w:after="0" w:line="240" w:lineRule="auto"/>
        <w:rPr>
          <w:sz w:val="24"/>
          <w:szCs w:val="24"/>
        </w:rPr>
      </w:pPr>
      <w:r>
        <w:rPr>
          <w:sz w:val="24"/>
          <w:szCs w:val="24"/>
        </w:rPr>
        <w:t>Despite these challenges, the PCO</w:t>
      </w:r>
      <w:r w:rsidR="00CF65F8">
        <w:rPr>
          <w:sz w:val="24"/>
          <w:szCs w:val="24"/>
        </w:rPr>
        <w:t xml:space="preserve"> staff </w:t>
      </w:r>
      <w:r>
        <w:rPr>
          <w:sz w:val="24"/>
          <w:szCs w:val="24"/>
        </w:rPr>
        <w:t xml:space="preserve">make every effort to develop and maintain accurate data, working in collaboration with </w:t>
      </w:r>
      <w:r w:rsidR="00CF65F8">
        <w:rPr>
          <w:sz w:val="24"/>
          <w:szCs w:val="24"/>
        </w:rPr>
        <w:t xml:space="preserve">our </w:t>
      </w:r>
      <w:r>
        <w:rPr>
          <w:sz w:val="24"/>
          <w:szCs w:val="24"/>
        </w:rPr>
        <w:t xml:space="preserve">partners whenever possible to review data and the resulting HPSA designations. </w:t>
      </w:r>
    </w:p>
    <w:p w:rsidR="0074428D" w:rsidRPr="00CE7E52" w:rsidRDefault="0074428D" w:rsidP="00015B63">
      <w:pPr>
        <w:spacing w:after="0" w:line="240" w:lineRule="auto"/>
        <w:rPr>
          <w:sz w:val="24"/>
          <w:szCs w:val="24"/>
        </w:rPr>
      </w:pPr>
      <w:r>
        <w:rPr>
          <w:sz w:val="24"/>
          <w:szCs w:val="24"/>
        </w:rPr>
        <w:t xml:space="preserve"> </w:t>
      </w:r>
    </w:p>
    <w:p w:rsidR="0074428D" w:rsidRDefault="0074428D" w:rsidP="00015B63">
      <w:pPr>
        <w:spacing w:after="0" w:line="240" w:lineRule="auto"/>
        <w:rPr>
          <w:b/>
          <w:sz w:val="24"/>
          <w:szCs w:val="24"/>
        </w:rPr>
      </w:pPr>
    </w:p>
    <w:p w:rsidR="0074428D" w:rsidRPr="006D357C" w:rsidRDefault="0074428D" w:rsidP="00015B63">
      <w:pPr>
        <w:spacing w:after="0" w:line="240" w:lineRule="auto"/>
        <w:rPr>
          <w:b/>
          <w:sz w:val="24"/>
          <w:szCs w:val="24"/>
        </w:rPr>
      </w:pPr>
      <w:r>
        <w:rPr>
          <w:b/>
          <w:sz w:val="24"/>
          <w:szCs w:val="24"/>
        </w:rPr>
        <w:t xml:space="preserve">NEVADA </w:t>
      </w:r>
      <w:smartTag w:uri="urn:schemas-microsoft-com:office:smarttags" w:element="stockticker">
        <w:r>
          <w:rPr>
            <w:b/>
            <w:sz w:val="24"/>
            <w:szCs w:val="24"/>
          </w:rPr>
          <w:t>DATA</w:t>
        </w:r>
      </w:smartTag>
      <w:r>
        <w:rPr>
          <w:b/>
          <w:sz w:val="24"/>
          <w:szCs w:val="24"/>
        </w:rPr>
        <w:t xml:space="preserve"> and RANKINGS</w:t>
      </w:r>
    </w:p>
    <w:p w:rsidR="0074428D" w:rsidRPr="006D357C" w:rsidRDefault="0074428D" w:rsidP="00015B63">
      <w:pPr>
        <w:spacing w:after="0" w:line="240" w:lineRule="auto"/>
        <w:rPr>
          <w:sz w:val="24"/>
          <w:szCs w:val="24"/>
        </w:rPr>
      </w:pPr>
    </w:p>
    <w:p w:rsidR="0074428D" w:rsidRPr="002D0936" w:rsidRDefault="0074428D" w:rsidP="009A7C59">
      <w:pPr>
        <w:rPr>
          <w:sz w:val="24"/>
          <w:szCs w:val="24"/>
          <w:u w:val="single"/>
        </w:rPr>
      </w:pPr>
      <w:r>
        <w:rPr>
          <w:sz w:val="24"/>
          <w:szCs w:val="24"/>
          <w:u w:val="single"/>
        </w:rPr>
        <w:t>Geographic and Demographic Overview</w:t>
      </w:r>
    </w:p>
    <w:p w:rsidR="0074428D" w:rsidRDefault="0074428D" w:rsidP="009A7C59">
      <w:pPr>
        <w:rPr>
          <w:sz w:val="24"/>
          <w:szCs w:val="24"/>
        </w:rPr>
      </w:pPr>
      <w:r w:rsidRPr="006D357C">
        <w:rPr>
          <w:sz w:val="24"/>
          <w:szCs w:val="24"/>
        </w:rPr>
        <w:t>Nevada is a large frontier state of rou</w:t>
      </w:r>
      <w:r>
        <w:rPr>
          <w:sz w:val="24"/>
          <w:szCs w:val="24"/>
        </w:rPr>
        <w:t xml:space="preserve">ghly 110,000 square miles with a multitude of mountain ranges, from the Sierra-Nevada rising over 14,000’ elevation on our western border,  to Wheeler Peak at over 13,000’on the eastern border, with more ranges covering the vast distances between, including nearly 500 miles of Highway 50, </w:t>
      </w:r>
      <w:r w:rsidRPr="00FD2F88">
        <w:rPr>
          <w:i/>
          <w:sz w:val="24"/>
          <w:szCs w:val="24"/>
        </w:rPr>
        <w:t>The</w:t>
      </w:r>
      <w:r>
        <w:rPr>
          <w:sz w:val="24"/>
          <w:szCs w:val="24"/>
        </w:rPr>
        <w:t xml:space="preserve"> </w:t>
      </w:r>
      <w:r>
        <w:rPr>
          <w:i/>
          <w:sz w:val="24"/>
          <w:szCs w:val="24"/>
        </w:rPr>
        <w:t>Loneliest Road in America</w:t>
      </w:r>
      <w:r>
        <w:rPr>
          <w:sz w:val="24"/>
          <w:szCs w:val="24"/>
        </w:rPr>
        <w:t>.  Our</w:t>
      </w:r>
      <w:r w:rsidRPr="006D357C">
        <w:rPr>
          <w:sz w:val="24"/>
          <w:szCs w:val="24"/>
        </w:rPr>
        <w:t xml:space="preserve"> population of 2,839,099, </w:t>
      </w:r>
      <w:r>
        <w:rPr>
          <w:sz w:val="24"/>
          <w:szCs w:val="24"/>
        </w:rPr>
        <w:t xml:space="preserve">is concentrated </w:t>
      </w:r>
      <w:r w:rsidRPr="006D357C">
        <w:rPr>
          <w:sz w:val="24"/>
          <w:szCs w:val="24"/>
        </w:rPr>
        <w:t>in the two urban counties of Clark and Washoe</w:t>
      </w:r>
      <w:r>
        <w:rPr>
          <w:sz w:val="24"/>
          <w:szCs w:val="24"/>
        </w:rPr>
        <w:t>, comprising about 89%</w:t>
      </w:r>
      <w:r w:rsidRPr="006D357C">
        <w:rPr>
          <w:sz w:val="24"/>
          <w:szCs w:val="24"/>
        </w:rPr>
        <w:t xml:space="preserve">.  </w:t>
      </w:r>
      <w:r>
        <w:rPr>
          <w:sz w:val="24"/>
          <w:szCs w:val="24"/>
        </w:rPr>
        <w:t>Statewide, Nevadans identify</w:t>
      </w:r>
      <w:r w:rsidRPr="006D357C">
        <w:rPr>
          <w:sz w:val="24"/>
          <w:szCs w:val="24"/>
        </w:rPr>
        <w:t xml:space="preserve"> predominantly as White, at 76.1%, with 9.1% African American, 8.3% Asian, and 1.6% American Indian or Alaskan Native.  Nevadans with Hispanic or Latino origins make up approximately 27.8% of our population, and 4% of the population identify as two or more races.</w:t>
      </w:r>
      <w:r w:rsidRPr="006D357C">
        <w:rPr>
          <w:rStyle w:val="FootnoteReference"/>
          <w:sz w:val="24"/>
          <w:szCs w:val="24"/>
        </w:rPr>
        <w:footnoteReference w:id="1"/>
      </w:r>
      <w:r w:rsidRPr="006D357C">
        <w:rPr>
          <w:sz w:val="24"/>
          <w:szCs w:val="24"/>
        </w:rPr>
        <w:t xml:space="preserve"> </w:t>
      </w:r>
    </w:p>
    <w:p w:rsidR="0074428D" w:rsidRPr="00C85E24" w:rsidRDefault="0074428D" w:rsidP="009A7C59">
      <w:pPr>
        <w:rPr>
          <w:sz w:val="24"/>
          <w:szCs w:val="24"/>
          <w:u w:val="single"/>
        </w:rPr>
      </w:pPr>
      <w:r w:rsidRPr="00C85E24">
        <w:rPr>
          <w:sz w:val="24"/>
          <w:szCs w:val="24"/>
          <w:u w:val="single"/>
        </w:rPr>
        <w:t>Poverty</w:t>
      </w:r>
    </w:p>
    <w:p w:rsidR="0074428D" w:rsidRDefault="0074428D" w:rsidP="009A7C59">
      <w:pPr>
        <w:rPr>
          <w:sz w:val="24"/>
          <w:szCs w:val="24"/>
        </w:rPr>
      </w:pPr>
      <w:r>
        <w:rPr>
          <w:sz w:val="24"/>
          <w:szCs w:val="24"/>
        </w:rPr>
        <w:lastRenderedPageBreak/>
        <w:t xml:space="preserve">Based on federal poverty guidelines, rates for Nevadans were several points below national averages from 2005 to 2009, for both children (15%) and adults (11%).  Beginning in 2010, rates increased up to </w:t>
      </w:r>
      <w:r w:rsidRPr="0028241A">
        <w:rPr>
          <w:sz w:val="24"/>
          <w:szCs w:val="24"/>
        </w:rPr>
        <w:t>16% for adults and 23% for children in 2013</w:t>
      </w:r>
      <w:r>
        <w:rPr>
          <w:sz w:val="24"/>
          <w:szCs w:val="24"/>
        </w:rPr>
        <w:t>, in parallel with national averages; then dropped a point each to 15% and 22%, respectively</w:t>
      </w:r>
      <w:r w:rsidR="00CF65F8">
        <w:rPr>
          <w:sz w:val="24"/>
          <w:szCs w:val="24"/>
        </w:rPr>
        <w:t xml:space="preserve"> in 2014</w:t>
      </w:r>
      <w:r>
        <w:rPr>
          <w:sz w:val="24"/>
          <w:szCs w:val="24"/>
        </w:rPr>
        <w:t xml:space="preserve">.  Older Nevadans have stayed slightly below the national average with a low of </w:t>
      </w:r>
      <w:r w:rsidRPr="0028241A">
        <w:rPr>
          <w:sz w:val="24"/>
          <w:szCs w:val="24"/>
        </w:rPr>
        <w:t>6% in 2004 to a high of 9% in 2013, dropping to 8% in 2014.</w:t>
      </w:r>
      <w:r>
        <w:rPr>
          <w:sz w:val="24"/>
          <w:szCs w:val="24"/>
        </w:rPr>
        <w:t xml:space="preserve">  Poverty rates for single female-headed household</w:t>
      </w:r>
      <w:r w:rsidR="00CF65F8">
        <w:rPr>
          <w:sz w:val="24"/>
          <w:szCs w:val="24"/>
        </w:rPr>
        <w:t>s</w:t>
      </w:r>
      <w:r>
        <w:rPr>
          <w:sz w:val="24"/>
          <w:szCs w:val="24"/>
        </w:rPr>
        <w:t xml:space="preserve"> with children have generally increased over the ten-year period, from 32% in 2005 up to 44% in 2009, down to 40% in 2014, while remaining several points below national averages.</w:t>
      </w:r>
      <w:r>
        <w:rPr>
          <w:rStyle w:val="FootnoteReference"/>
          <w:sz w:val="24"/>
          <w:szCs w:val="24"/>
        </w:rPr>
        <w:footnoteReference w:id="2"/>
      </w:r>
      <w:r>
        <w:rPr>
          <w:sz w:val="24"/>
          <w:szCs w:val="24"/>
        </w:rPr>
        <w:t xml:space="preserve">  However, </w:t>
      </w:r>
      <w:smartTag w:uri="urn:schemas-microsoft-com:office:smarttags" w:element="place">
        <w:smartTag w:uri="urn:schemas-microsoft-com:office:smarttags" w:element="State">
          <w:r>
            <w:rPr>
              <w:sz w:val="24"/>
              <w:szCs w:val="24"/>
            </w:rPr>
            <w:t>Nevada</w:t>
          </w:r>
        </w:smartTag>
      </w:smartTag>
      <w:r>
        <w:rPr>
          <w:sz w:val="24"/>
          <w:szCs w:val="24"/>
        </w:rPr>
        <w:t>’s percent of children who live in single parent families has grown steadily in the last decade from 32% in 2005 to 39% in 2014, exceeding the national average by several points.</w:t>
      </w:r>
      <w:r>
        <w:rPr>
          <w:rStyle w:val="FootnoteReference"/>
          <w:sz w:val="24"/>
          <w:szCs w:val="24"/>
        </w:rPr>
        <w:footnoteReference w:id="3"/>
      </w:r>
    </w:p>
    <w:p w:rsidR="0074428D" w:rsidRDefault="0074428D" w:rsidP="009A7C59">
      <w:pPr>
        <w:rPr>
          <w:sz w:val="24"/>
          <w:szCs w:val="24"/>
        </w:rPr>
      </w:pPr>
      <w:smartTag w:uri="urn:schemas-microsoft-com:office:smarttags" w:element="place">
        <w:smartTag w:uri="urn:schemas-microsoft-com:office:smarttags" w:element="State">
          <w:r>
            <w:rPr>
              <w:sz w:val="24"/>
              <w:szCs w:val="24"/>
            </w:rPr>
            <w:t>Nevada</w:t>
          </w:r>
        </w:smartTag>
      </w:smartTag>
      <w:r>
        <w:rPr>
          <w:sz w:val="24"/>
          <w:szCs w:val="24"/>
        </w:rPr>
        <w:t xml:space="preserve"> households receiving public assistance is slightly below the national average at 131 per 1,000 compared to 139.  The maximum income threshold for TANF eligibility is considerably higher than the national average at $1,546 [per month for a family of 3], while the maximum benefit is below the national average at $383.</w:t>
      </w:r>
      <w:r>
        <w:rPr>
          <w:rStyle w:val="FootnoteReference"/>
          <w:sz w:val="24"/>
          <w:szCs w:val="24"/>
        </w:rPr>
        <w:footnoteReference w:id="4"/>
      </w:r>
      <w:r>
        <w:rPr>
          <w:sz w:val="24"/>
          <w:szCs w:val="24"/>
        </w:rPr>
        <w:t xml:space="preserve">  The TANF work participation rate is slightly higher than the national average at 36% with average 26 hours per week.  Job retention has increased from 63% to 72% over the last decade, while job entry has decreased from 37% to 15%.  Earnings gains have declined in recent years from 44% in FY06 to 24% in FY11, compared to 31% nationally.</w:t>
      </w:r>
      <w:r>
        <w:rPr>
          <w:rStyle w:val="FootnoteReference"/>
          <w:sz w:val="24"/>
          <w:szCs w:val="24"/>
        </w:rPr>
        <w:footnoteReference w:id="5"/>
      </w:r>
    </w:p>
    <w:p w:rsidR="0074428D" w:rsidRPr="002D0936" w:rsidRDefault="0074428D" w:rsidP="006427A9">
      <w:pPr>
        <w:rPr>
          <w:sz w:val="24"/>
          <w:szCs w:val="24"/>
          <w:u w:val="single"/>
        </w:rPr>
      </w:pPr>
      <w:r>
        <w:rPr>
          <w:sz w:val="24"/>
          <w:szCs w:val="24"/>
          <w:u w:val="single"/>
        </w:rPr>
        <w:t xml:space="preserve">Economy and </w:t>
      </w:r>
      <w:r w:rsidRPr="002D0936">
        <w:rPr>
          <w:sz w:val="24"/>
          <w:szCs w:val="24"/>
          <w:u w:val="single"/>
        </w:rPr>
        <w:t>Employment</w:t>
      </w:r>
    </w:p>
    <w:p w:rsidR="0074428D" w:rsidRDefault="0074428D" w:rsidP="006427A9">
      <w:pPr>
        <w:rPr>
          <w:sz w:val="24"/>
          <w:szCs w:val="24"/>
        </w:rPr>
      </w:pPr>
      <w:smartTag w:uri="urn:schemas-microsoft-com:office:smarttags" w:element="place">
        <w:smartTag w:uri="urn:schemas-microsoft-com:office:smarttags" w:element="State">
          <w:r>
            <w:rPr>
              <w:sz w:val="24"/>
              <w:szCs w:val="24"/>
            </w:rPr>
            <w:t>Nevada</w:t>
          </w:r>
        </w:smartTag>
      </w:smartTag>
      <w:r>
        <w:rPr>
          <w:sz w:val="24"/>
          <w:szCs w:val="24"/>
        </w:rPr>
        <w:t>’s population grew by at least 50% every decade from 1950 through 2000, and experienced the highest growth rate among states through the early 2000s, with a sharp decline in 2009 down to only 1%,</w:t>
      </w:r>
      <w:r>
        <w:rPr>
          <w:rStyle w:val="FootnoteReference"/>
          <w:sz w:val="24"/>
          <w:szCs w:val="24"/>
        </w:rPr>
        <w:footnoteReference w:id="6"/>
      </w:r>
      <w:r>
        <w:rPr>
          <w:sz w:val="24"/>
          <w:szCs w:val="24"/>
        </w:rPr>
        <w:t xml:space="preserve"> due to the great recession.  For the next few years, </w:t>
      </w:r>
      <w:smartTag w:uri="urn:schemas-microsoft-com:office:smarttags" w:element="place">
        <w:smartTag w:uri="urn:schemas-microsoft-com:office:smarttags" w:element="State">
          <w:r>
            <w:rPr>
              <w:sz w:val="24"/>
              <w:szCs w:val="24"/>
            </w:rPr>
            <w:t>Nevada</w:t>
          </w:r>
        </w:smartTag>
      </w:smartTag>
      <w:r>
        <w:rPr>
          <w:sz w:val="24"/>
          <w:szCs w:val="24"/>
        </w:rPr>
        <w:t xml:space="preserve"> experienced the highest rates in the nation for foreclosure with one in every 359 housing units statewide,</w:t>
      </w:r>
      <w:r>
        <w:rPr>
          <w:rStyle w:val="FootnoteReference"/>
          <w:sz w:val="24"/>
          <w:szCs w:val="24"/>
        </w:rPr>
        <w:footnoteReference w:id="7"/>
      </w:r>
      <w:r>
        <w:rPr>
          <w:sz w:val="24"/>
          <w:szCs w:val="24"/>
        </w:rPr>
        <w:t xml:space="preserve"> as well as the highest rates for unemployment, which peaked at 13.7% in 2010.</w:t>
      </w:r>
      <w:r>
        <w:rPr>
          <w:rStyle w:val="FootnoteReference"/>
          <w:sz w:val="24"/>
          <w:szCs w:val="24"/>
        </w:rPr>
        <w:footnoteReference w:id="8"/>
      </w:r>
    </w:p>
    <w:p w:rsidR="0074428D" w:rsidRDefault="0074428D" w:rsidP="006427A9">
      <w:pPr>
        <w:rPr>
          <w:sz w:val="24"/>
          <w:szCs w:val="24"/>
        </w:rPr>
      </w:pPr>
      <w:r>
        <w:rPr>
          <w:sz w:val="24"/>
          <w:szCs w:val="24"/>
        </w:rPr>
        <w:lastRenderedPageBreak/>
        <w:t xml:space="preserve">Reflecting the recovery of the last few years, in January 2016, </w:t>
      </w:r>
      <w:smartTag w:uri="urn:schemas-microsoft-com:office:smarttags" w:element="place">
        <w:smartTag w:uri="urn:schemas-microsoft-com:office:smarttags" w:element="State">
          <w:r>
            <w:rPr>
              <w:sz w:val="24"/>
              <w:szCs w:val="24"/>
            </w:rPr>
            <w:t>Nevada</w:t>
          </w:r>
        </w:smartTag>
      </w:smartTag>
      <w:r>
        <w:rPr>
          <w:sz w:val="24"/>
          <w:szCs w:val="24"/>
        </w:rPr>
        <w:t>’s job growth ranked 3</w:t>
      </w:r>
      <w:r w:rsidRPr="007A24FD">
        <w:rPr>
          <w:sz w:val="24"/>
          <w:szCs w:val="24"/>
          <w:vertAlign w:val="superscript"/>
        </w:rPr>
        <w:t>rd</w:t>
      </w:r>
      <w:r>
        <w:rPr>
          <w:sz w:val="24"/>
          <w:szCs w:val="24"/>
        </w:rPr>
        <w:t xml:space="preserve"> in the nation with 60 straight months of year-over-year job gains, with construction and leisure industries leading the way.  Unemployment dropped back down to an average 6.8% in 2015, </w:t>
      </w:r>
      <w:r w:rsidR="00CF65F8">
        <w:rPr>
          <w:sz w:val="24"/>
          <w:szCs w:val="24"/>
        </w:rPr>
        <w:t xml:space="preserve">although </w:t>
      </w:r>
      <w:r>
        <w:rPr>
          <w:sz w:val="24"/>
          <w:szCs w:val="24"/>
        </w:rPr>
        <w:t xml:space="preserve">still above the national average of 5.3%, and </w:t>
      </w:r>
      <w:smartTag w:uri="urn:schemas-microsoft-com:office:smarttags" w:element="State">
        <w:smartTag w:uri="urn:schemas-microsoft-com:office:smarttags" w:element="place">
          <w:r>
            <w:rPr>
              <w:sz w:val="24"/>
              <w:szCs w:val="24"/>
            </w:rPr>
            <w:t>Nevada</w:t>
          </w:r>
        </w:smartTag>
      </w:smartTag>
      <w:r>
        <w:rPr>
          <w:sz w:val="24"/>
          <w:szCs w:val="24"/>
        </w:rPr>
        <w:t xml:space="preserve">’s population gain was the fourth strongest in the </w:t>
      </w:r>
      <w:smartTag w:uri="urn:schemas-microsoft-com:office:smarttags" w:element="country-region">
        <w:smartTag w:uri="urn:schemas-microsoft-com:office:smarttags" w:element="place">
          <w:r>
            <w:rPr>
              <w:sz w:val="24"/>
              <w:szCs w:val="24"/>
            </w:rPr>
            <w:t>U.S.</w:t>
          </w:r>
        </w:smartTag>
      </w:smartTag>
      <w:r>
        <w:rPr>
          <w:rStyle w:val="FootnoteReference"/>
          <w:sz w:val="24"/>
          <w:szCs w:val="24"/>
        </w:rPr>
        <w:footnoteReference w:id="9"/>
      </w:r>
    </w:p>
    <w:p w:rsidR="0074428D" w:rsidRDefault="0074428D" w:rsidP="006427A9">
      <w:pPr>
        <w:rPr>
          <w:sz w:val="24"/>
          <w:szCs w:val="24"/>
        </w:rPr>
      </w:pPr>
      <w:r>
        <w:rPr>
          <w:sz w:val="24"/>
          <w:szCs w:val="24"/>
        </w:rPr>
        <w:t>Tourism and gaming employ nearly 400,000 Nevadans, but these are typically low wage jobs with an average salary of $31,000.  Approximately 57,000 of these employees are members of the Culinary Workers Union, which offers full coverage health benefits with no premiums or deductibles through the Culinary Health Fund.</w:t>
      </w:r>
      <w:r>
        <w:rPr>
          <w:rStyle w:val="FootnoteReference"/>
          <w:sz w:val="24"/>
          <w:szCs w:val="24"/>
        </w:rPr>
        <w:footnoteReference w:id="10"/>
      </w:r>
    </w:p>
    <w:p w:rsidR="0074428D" w:rsidRDefault="0074428D" w:rsidP="006427A9">
      <w:pPr>
        <w:rPr>
          <w:sz w:val="24"/>
          <w:szCs w:val="24"/>
        </w:rPr>
      </w:pPr>
      <w:r>
        <w:rPr>
          <w:sz w:val="24"/>
          <w:szCs w:val="24"/>
        </w:rPr>
        <w:t xml:space="preserve">Logistics and manufacturing are also significant industries for </w:t>
      </w:r>
      <w:smartTag w:uri="urn:schemas-microsoft-com:office:smarttags" w:element="place">
        <w:smartTag w:uri="urn:schemas-microsoft-com:office:smarttags" w:element="State">
          <w:r>
            <w:rPr>
              <w:sz w:val="24"/>
              <w:szCs w:val="24"/>
            </w:rPr>
            <w:t>Nevada</w:t>
          </w:r>
        </w:smartTag>
      </w:smartTag>
      <w:r>
        <w:rPr>
          <w:sz w:val="24"/>
          <w:szCs w:val="24"/>
        </w:rPr>
        <w:t xml:space="preserve">, employing 66,000 and 42,000 Nevadans, respectively, with average yearly wages between $56,000 and $54,000.   Mining was reported as the fourth top industry in </w:t>
      </w:r>
      <w:smartTag w:uri="urn:schemas-microsoft-com:office:smarttags" w:element="State">
        <w:smartTag w:uri="urn:schemas-microsoft-com:office:smarttags" w:element="place">
          <w:r>
            <w:rPr>
              <w:sz w:val="24"/>
              <w:szCs w:val="24"/>
            </w:rPr>
            <w:t>Nevada</w:t>
          </w:r>
        </w:smartTag>
      </w:smartTag>
      <w:r>
        <w:rPr>
          <w:sz w:val="24"/>
          <w:szCs w:val="24"/>
        </w:rPr>
        <w:t xml:space="preserve">, accounting for 15,000 jobs where support positions are paid low wages, but miners and administrators earn average salaries of 90,000.  Aerospace was reported as the fifth largest industry with 13,000 </w:t>
      </w:r>
      <w:smartTag w:uri="urn:schemas-microsoft-com:office:smarttags" w:element="place">
        <w:smartTag w:uri="urn:schemas-microsoft-com:office:smarttags" w:element="State">
          <w:r>
            <w:rPr>
              <w:sz w:val="24"/>
              <w:szCs w:val="24"/>
            </w:rPr>
            <w:t>Nevada</w:t>
          </w:r>
        </w:smartTag>
      </w:smartTag>
      <w:r>
        <w:rPr>
          <w:sz w:val="24"/>
          <w:szCs w:val="24"/>
        </w:rPr>
        <w:t xml:space="preserve"> employees and average earnings of $78,000.</w:t>
      </w:r>
      <w:r>
        <w:rPr>
          <w:rStyle w:val="FootnoteReference"/>
          <w:sz w:val="24"/>
          <w:szCs w:val="24"/>
        </w:rPr>
        <w:footnoteReference w:id="11"/>
      </w:r>
      <w:r>
        <w:rPr>
          <w:sz w:val="24"/>
          <w:szCs w:val="24"/>
        </w:rPr>
        <w:t xml:space="preserve">  </w:t>
      </w:r>
    </w:p>
    <w:p w:rsidR="0074428D" w:rsidRDefault="0074428D" w:rsidP="006427A9">
      <w:pPr>
        <w:rPr>
          <w:sz w:val="24"/>
          <w:szCs w:val="24"/>
        </w:rPr>
      </w:pPr>
      <w:r>
        <w:rPr>
          <w:sz w:val="24"/>
          <w:szCs w:val="24"/>
        </w:rPr>
        <w:t>While tourism and gaming, logistics, manufacturing and aerospace are primarily in the urban and suburban areas of the state, mining is concentrated in rural and frontier Nevada, primarily in the northeast region of the state.  Because the price of gold typically goes up when other economic indicators go down, mining activity increased through the recession, expanding populations and housing demands in rural and frontier areas, then c</w:t>
      </w:r>
      <w:r w:rsidR="00CF65F8">
        <w:rPr>
          <w:sz w:val="24"/>
          <w:szCs w:val="24"/>
        </w:rPr>
        <w:t>ontracting as broader economic sec</w:t>
      </w:r>
      <w:r>
        <w:rPr>
          <w:sz w:val="24"/>
          <w:szCs w:val="24"/>
        </w:rPr>
        <w:t>tors recovered.  Establishing health care networks can be difficult in these areas due to multiple factors: the transient population, the boom and bust cycle of mining, the low density population, the vast distances between population centers, and the libertarian philosophy of regional leadership.  When the mines are active, employees have health coverage and access to providers.  However, many providers in these communities do not accept Medicaid, leaving a significant portion of the population without local access.  Consequently, these Nevadans must sometimes travel to surrounding states for primary or dental care.  Behavioral health care is supported to a significant degree through telehealth systems that connect rural and frontier Nevada to providers in urban areas in Washoe and Clark counties.</w:t>
      </w:r>
    </w:p>
    <w:p w:rsidR="0074428D" w:rsidRDefault="0074428D" w:rsidP="006427A9">
      <w:pPr>
        <w:spacing w:after="0" w:line="240" w:lineRule="auto"/>
        <w:rPr>
          <w:sz w:val="24"/>
          <w:szCs w:val="24"/>
        </w:rPr>
      </w:pPr>
      <w:r>
        <w:rPr>
          <w:sz w:val="24"/>
          <w:szCs w:val="24"/>
        </w:rPr>
        <w:lastRenderedPageBreak/>
        <w:t xml:space="preserve">Statewide, the health care sector has been more stable than other sectors over the past several years, with growing demand for health care services and focused efforts to improve access to care.  </w:t>
      </w:r>
      <w:r w:rsidRPr="00380F42">
        <w:rPr>
          <w:sz w:val="24"/>
          <w:szCs w:val="24"/>
        </w:rPr>
        <w:t>Nevada Health Care Industry online job postings total</w:t>
      </w:r>
      <w:r>
        <w:rPr>
          <w:sz w:val="24"/>
          <w:szCs w:val="24"/>
        </w:rPr>
        <w:t>ed</w:t>
      </w:r>
      <w:r w:rsidRPr="00380F42">
        <w:rPr>
          <w:sz w:val="24"/>
          <w:szCs w:val="24"/>
        </w:rPr>
        <w:t xml:space="preserve"> 29,100 in 2015, up from 20,400 </w:t>
      </w:r>
      <w:r>
        <w:rPr>
          <w:sz w:val="24"/>
          <w:szCs w:val="24"/>
        </w:rPr>
        <w:t>in 2014, and t</w:t>
      </w:r>
      <w:r w:rsidRPr="00380F42">
        <w:rPr>
          <w:sz w:val="24"/>
          <w:szCs w:val="24"/>
        </w:rPr>
        <w:t xml:space="preserve">he top industries </w:t>
      </w:r>
      <w:r>
        <w:rPr>
          <w:sz w:val="24"/>
          <w:szCs w:val="24"/>
        </w:rPr>
        <w:t>a</w:t>
      </w:r>
      <w:r w:rsidRPr="00380F42">
        <w:rPr>
          <w:sz w:val="24"/>
          <w:szCs w:val="24"/>
        </w:rPr>
        <w:t>re general medical/surgical hospitals, offices of other health practitioners, and offices of physicians.</w:t>
      </w:r>
      <w:r>
        <w:rPr>
          <w:sz w:val="24"/>
          <w:szCs w:val="24"/>
        </w:rPr>
        <w:t xml:space="preserve">  The overwhelming majority of these jobs are full-time, at 92%, and the top occupations in demand are registered nurses, followed by medical and health services managers.  The top in-demand skills are patient care and acute care, with a majority requiring at least some college.</w:t>
      </w:r>
      <w:r>
        <w:rPr>
          <w:rStyle w:val="FootnoteReference"/>
          <w:sz w:val="24"/>
          <w:szCs w:val="24"/>
        </w:rPr>
        <w:footnoteReference w:id="12"/>
      </w:r>
    </w:p>
    <w:p w:rsidR="0074428D" w:rsidRDefault="0074428D" w:rsidP="006427A9">
      <w:pPr>
        <w:spacing w:after="0" w:line="240" w:lineRule="auto"/>
        <w:rPr>
          <w:sz w:val="24"/>
          <w:szCs w:val="24"/>
          <w:u w:val="single"/>
        </w:rPr>
      </w:pPr>
    </w:p>
    <w:p w:rsidR="0074428D" w:rsidRDefault="0074428D" w:rsidP="006427A9">
      <w:pPr>
        <w:spacing w:after="0" w:line="240" w:lineRule="auto"/>
        <w:rPr>
          <w:sz w:val="24"/>
          <w:szCs w:val="24"/>
          <w:u w:val="single"/>
        </w:rPr>
      </w:pPr>
      <w:r w:rsidRPr="0049501C">
        <w:rPr>
          <w:sz w:val="24"/>
          <w:szCs w:val="24"/>
          <w:u w:val="single"/>
        </w:rPr>
        <w:t>Child Welfare</w:t>
      </w:r>
    </w:p>
    <w:p w:rsidR="0074428D" w:rsidRPr="0049501C" w:rsidRDefault="0074428D" w:rsidP="006427A9">
      <w:pPr>
        <w:spacing w:after="0" w:line="240" w:lineRule="auto"/>
        <w:rPr>
          <w:sz w:val="24"/>
          <w:szCs w:val="24"/>
          <w:u w:val="single"/>
        </w:rPr>
      </w:pPr>
    </w:p>
    <w:p w:rsidR="0074428D" w:rsidRDefault="0074428D" w:rsidP="009A7C59">
      <w:pPr>
        <w:rPr>
          <w:sz w:val="24"/>
          <w:szCs w:val="24"/>
        </w:rPr>
      </w:pPr>
      <w:r>
        <w:rPr>
          <w:sz w:val="24"/>
          <w:szCs w:val="24"/>
        </w:rPr>
        <w:t xml:space="preserve">While reports of maltreatment have increased over the last decade in </w:t>
      </w:r>
      <w:smartTag w:uri="urn:schemas-microsoft-com:office:smarttags" w:element="place">
        <w:smartTag w:uri="urn:schemas-microsoft-com:office:smarttags" w:element="State">
          <w:r>
            <w:rPr>
              <w:sz w:val="24"/>
              <w:szCs w:val="24"/>
            </w:rPr>
            <w:t>Nevada</w:t>
          </w:r>
        </w:smartTag>
      </w:smartTag>
      <w:r>
        <w:rPr>
          <w:sz w:val="24"/>
          <w:szCs w:val="24"/>
        </w:rPr>
        <w:t>, fatalities have started to decrease, with rates comparable to national averages.  Both immediate response times and post-investigation services have improved in recent years and are below the national averages.  Length of stay in foster care has improved in the last two years, but the rate of adoptions--35% in 2014-- has fluctuated over the period and is significantly below the national average of 47%.</w:t>
      </w:r>
      <w:r>
        <w:rPr>
          <w:rStyle w:val="FootnoteReference"/>
          <w:sz w:val="24"/>
          <w:szCs w:val="24"/>
        </w:rPr>
        <w:footnoteReference w:id="13"/>
      </w:r>
    </w:p>
    <w:p w:rsidR="0074428D" w:rsidRDefault="0074428D" w:rsidP="009A7C59">
      <w:pPr>
        <w:rPr>
          <w:sz w:val="24"/>
          <w:szCs w:val="24"/>
          <w:u w:val="single"/>
        </w:rPr>
      </w:pPr>
    </w:p>
    <w:p w:rsidR="0074428D" w:rsidRPr="00F052D4" w:rsidRDefault="0074428D" w:rsidP="009A7C59">
      <w:pPr>
        <w:rPr>
          <w:sz w:val="24"/>
          <w:szCs w:val="24"/>
          <w:u w:val="single"/>
        </w:rPr>
      </w:pPr>
      <w:r w:rsidRPr="00F052D4">
        <w:rPr>
          <w:sz w:val="24"/>
          <w:szCs w:val="24"/>
          <w:u w:val="single"/>
        </w:rPr>
        <w:t>Seniors</w:t>
      </w:r>
    </w:p>
    <w:p w:rsidR="0074428D" w:rsidRDefault="0074428D" w:rsidP="009A7C59">
      <w:pPr>
        <w:rPr>
          <w:sz w:val="24"/>
          <w:szCs w:val="24"/>
        </w:rPr>
      </w:pPr>
      <w:r>
        <w:rPr>
          <w:sz w:val="24"/>
          <w:szCs w:val="24"/>
        </w:rPr>
        <w:t xml:space="preserve">Seniors make up 14% of </w:t>
      </w:r>
      <w:smartTag w:uri="urn:schemas-microsoft-com:office:smarttags" w:element="place">
        <w:smartTag w:uri="urn:schemas-microsoft-com:office:smarttags" w:element="State">
          <w:r>
            <w:rPr>
              <w:sz w:val="24"/>
              <w:szCs w:val="24"/>
            </w:rPr>
            <w:t>Nevada</w:t>
          </w:r>
        </w:smartTag>
      </w:smartTag>
      <w:r>
        <w:rPr>
          <w:sz w:val="24"/>
          <w:szCs w:val="24"/>
        </w:rPr>
        <w:t>’s population, with 8% in poverty, slightly below the national average of 10%.  Thirty-six percent of seniors have some disability; predominately ambulatory, vision or hearing, followed by mental and self-care.  While the disability rates are very close to national averages, the nursing facility residency rate of 122 per 1000 for Nevadans is significantly lower than the national rate of 228 per 1000 in 2013.</w:t>
      </w:r>
      <w:r>
        <w:rPr>
          <w:rStyle w:val="FootnoteReference"/>
          <w:sz w:val="24"/>
          <w:szCs w:val="24"/>
        </w:rPr>
        <w:footnoteReference w:id="14"/>
      </w:r>
    </w:p>
    <w:p w:rsidR="0074428D" w:rsidRDefault="0074428D" w:rsidP="009A7C59">
      <w:pPr>
        <w:rPr>
          <w:sz w:val="24"/>
          <w:szCs w:val="24"/>
          <w:u w:val="single"/>
        </w:rPr>
      </w:pPr>
      <w:r>
        <w:rPr>
          <w:sz w:val="24"/>
          <w:szCs w:val="24"/>
          <w:u w:val="single"/>
        </w:rPr>
        <w:t>Disability</w:t>
      </w:r>
    </w:p>
    <w:p w:rsidR="0074428D" w:rsidRDefault="0074428D" w:rsidP="009A7C59">
      <w:pPr>
        <w:rPr>
          <w:sz w:val="24"/>
          <w:szCs w:val="24"/>
        </w:rPr>
      </w:pPr>
      <w:r>
        <w:rPr>
          <w:sz w:val="24"/>
          <w:szCs w:val="24"/>
        </w:rPr>
        <w:t xml:space="preserve">Rates for non-institutionalized Nevadans with disabilities were similar to national averages, ranging from 5% for children up to 36% for seniors.  The overall number with a disability is slightly below the national rate at 120 per 1,000 in 2014.  Developmental </w:t>
      </w:r>
      <w:r>
        <w:rPr>
          <w:sz w:val="24"/>
          <w:szCs w:val="24"/>
        </w:rPr>
        <w:lastRenderedPageBreak/>
        <w:t>services spending was well below the national rate, at $2,432 per participant compared to $8,835 in 2013, while the percent of disabled who are working is several points above</w:t>
      </w:r>
      <w:r w:rsidR="00CF65F8">
        <w:rPr>
          <w:sz w:val="24"/>
          <w:szCs w:val="24"/>
        </w:rPr>
        <w:t xml:space="preserve"> the national rate</w:t>
      </w:r>
      <w:r>
        <w:rPr>
          <w:sz w:val="24"/>
          <w:szCs w:val="24"/>
        </w:rPr>
        <w:t>, at 42% compared to 35% in 2014.</w:t>
      </w:r>
      <w:r>
        <w:rPr>
          <w:rStyle w:val="FootnoteReference"/>
          <w:sz w:val="24"/>
          <w:szCs w:val="24"/>
        </w:rPr>
        <w:footnoteReference w:id="15"/>
      </w:r>
    </w:p>
    <w:p w:rsidR="0074428D" w:rsidRPr="0006391A" w:rsidRDefault="0074428D" w:rsidP="009A7C59">
      <w:pPr>
        <w:rPr>
          <w:sz w:val="24"/>
          <w:szCs w:val="24"/>
          <w:u w:val="single"/>
        </w:rPr>
      </w:pPr>
      <w:r w:rsidRPr="0006391A">
        <w:rPr>
          <w:sz w:val="24"/>
          <w:szCs w:val="24"/>
          <w:u w:val="single"/>
        </w:rPr>
        <w:t>Health</w:t>
      </w:r>
    </w:p>
    <w:p w:rsidR="0074428D" w:rsidRDefault="0074428D" w:rsidP="009A7C59">
      <w:pPr>
        <w:rPr>
          <w:sz w:val="24"/>
          <w:szCs w:val="24"/>
        </w:rPr>
      </w:pPr>
      <w:smartTag w:uri="urn:schemas-microsoft-com:office:smarttags" w:element="place">
        <w:smartTag w:uri="urn:schemas-microsoft-com:office:smarttags" w:element="State">
          <w:r>
            <w:rPr>
              <w:sz w:val="24"/>
              <w:szCs w:val="24"/>
            </w:rPr>
            <w:t>Nevada</w:t>
          </w:r>
        </w:smartTag>
      </w:smartTag>
      <w:r>
        <w:rPr>
          <w:sz w:val="24"/>
          <w:szCs w:val="24"/>
        </w:rPr>
        <w:t xml:space="preserve"> ranked 47</w:t>
      </w:r>
      <w:r w:rsidRPr="0006391A">
        <w:rPr>
          <w:sz w:val="24"/>
          <w:szCs w:val="24"/>
          <w:vertAlign w:val="superscript"/>
        </w:rPr>
        <w:t>th</w:t>
      </w:r>
      <w:r>
        <w:rPr>
          <w:sz w:val="24"/>
          <w:szCs w:val="24"/>
        </w:rPr>
        <w:t xml:space="preserve"> in 2015 in the overall ranking from the Annie E. Casey Foundation’s 10 infant, children and teen indicators.  Several individual measures were similar to national averages, including: low birth weight – 8%, infant mortality rate – 5%, child and teen death rate – 24%.</w:t>
      </w:r>
      <w:r>
        <w:rPr>
          <w:rStyle w:val="FootnoteReference"/>
          <w:sz w:val="24"/>
          <w:szCs w:val="24"/>
        </w:rPr>
        <w:footnoteReference w:id="16"/>
      </w:r>
      <w:r>
        <w:rPr>
          <w:sz w:val="24"/>
          <w:szCs w:val="24"/>
        </w:rPr>
        <w:t xml:space="preserve">  While the teen birth rate has been significantly higher than the national rate for most of the last decade, we have seen gradual improvement, closing some of the gap in 2013 at 30 per 1,000 compared to 27 nationally.</w:t>
      </w:r>
      <w:r>
        <w:rPr>
          <w:rStyle w:val="FootnoteReference"/>
          <w:sz w:val="24"/>
          <w:szCs w:val="24"/>
        </w:rPr>
        <w:footnoteReference w:id="17"/>
      </w:r>
    </w:p>
    <w:p w:rsidR="0074428D" w:rsidRDefault="0074428D" w:rsidP="009A7C59">
      <w:pPr>
        <w:rPr>
          <w:sz w:val="24"/>
          <w:szCs w:val="24"/>
        </w:rPr>
      </w:pPr>
      <w:r>
        <w:rPr>
          <w:sz w:val="24"/>
          <w:szCs w:val="24"/>
        </w:rPr>
        <w:t xml:space="preserve">Nineteen percent of adults reported poor or fair health in 2013, compared to 17% nationally, although the average number of </w:t>
      </w:r>
      <w:r>
        <w:rPr>
          <w:i/>
          <w:sz w:val="24"/>
          <w:szCs w:val="24"/>
        </w:rPr>
        <w:t xml:space="preserve">poor physical health days </w:t>
      </w:r>
      <w:r>
        <w:rPr>
          <w:sz w:val="24"/>
          <w:szCs w:val="24"/>
        </w:rPr>
        <w:t>was slightly below the national average at 3.7.  Consumption of fruit and vegetables, and physical activity are stable over the period and similar to national averages.</w:t>
      </w:r>
      <w:r>
        <w:rPr>
          <w:rStyle w:val="FootnoteReference"/>
          <w:sz w:val="24"/>
          <w:szCs w:val="24"/>
        </w:rPr>
        <w:footnoteReference w:id="18"/>
      </w:r>
      <w:r>
        <w:rPr>
          <w:sz w:val="24"/>
          <w:szCs w:val="24"/>
        </w:rPr>
        <w:t xml:space="preserve">  In 2015, </w:t>
      </w:r>
      <w:smartTag w:uri="urn:schemas-microsoft-com:office:smarttags" w:element="place">
        <w:smartTag w:uri="urn:schemas-microsoft-com:office:smarttags" w:element="State">
          <w:r>
            <w:rPr>
              <w:sz w:val="24"/>
              <w:szCs w:val="24"/>
            </w:rPr>
            <w:t>Nevada</w:t>
          </w:r>
        </w:smartTag>
      </w:smartTag>
      <w:r>
        <w:rPr>
          <w:sz w:val="24"/>
          <w:szCs w:val="24"/>
        </w:rPr>
        <w:t xml:space="preserve"> dropped a point below the national average, to 17% adult smokers, after many years of exceeding national averages.</w:t>
      </w:r>
      <w:r>
        <w:rPr>
          <w:rStyle w:val="FootnoteReference"/>
          <w:sz w:val="24"/>
          <w:szCs w:val="24"/>
        </w:rPr>
        <w:footnoteReference w:id="19"/>
      </w:r>
      <w:r>
        <w:rPr>
          <w:sz w:val="24"/>
          <w:szCs w:val="24"/>
        </w:rPr>
        <w:t xml:space="preserve">  Rates for binge drinking are similar to national rates at 16%, while illicit drug use is slightly higher at 11%.</w:t>
      </w:r>
      <w:r>
        <w:rPr>
          <w:rStyle w:val="FootnoteReference"/>
          <w:sz w:val="24"/>
          <w:szCs w:val="24"/>
        </w:rPr>
        <w:footnoteReference w:id="20"/>
      </w:r>
      <w:r>
        <w:rPr>
          <w:sz w:val="24"/>
          <w:szCs w:val="24"/>
        </w:rPr>
        <w:t xml:space="preserve">  Obesity is slightly lower at 28%, while diabetes (10%), high blood pressure (31%), high cholesterol (39%) and stroke (3%) are all similar to national rates.  Cardiac heart disease and heart attack rates have been relatively stable over the last decade similar to national rates, while cardiovascular deaths have steadily declined to 275 per 100,000, and cancer deaths have dropped to slightly below national rates in 2015, to 188 per 100,000.</w:t>
      </w:r>
      <w:r>
        <w:rPr>
          <w:rStyle w:val="FootnoteReference"/>
          <w:sz w:val="24"/>
          <w:szCs w:val="24"/>
        </w:rPr>
        <w:footnoteReference w:id="21"/>
      </w:r>
    </w:p>
    <w:p w:rsidR="00CF65F8" w:rsidRDefault="00CF65F8" w:rsidP="009A7C59">
      <w:pPr>
        <w:rPr>
          <w:sz w:val="24"/>
          <w:szCs w:val="24"/>
        </w:rPr>
      </w:pPr>
    </w:p>
    <w:p w:rsidR="0074428D" w:rsidRPr="004540A4" w:rsidRDefault="0074428D" w:rsidP="009A7C59">
      <w:pPr>
        <w:rPr>
          <w:sz w:val="24"/>
          <w:szCs w:val="24"/>
          <w:u w:val="single"/>
        </w:rPr>
      </w:pPr>
      <w:r w:rsidRPr="004540A4">
        <w:rPr>
          <w:sz w:val="24"/>
          <w:szCs w:val="24"/>
          <w:u w:val="single"/>
        </w:rPr>
        <w:t>Health Care</w:t>
      </w:r>
    </w:p>
    <w:p w:rsidR="0074428D" w:rsidRPr="00694E2C" w:rsidRDefault="0074428D" w:rsidP="009A7C59">
      <w:pPr>
        <w:rPr>
          <w:sz w:val="24"/>
          <w:szCs w:val="24"/>
        </w:rPr>
      </w:pPr>
      <w:r>
        <w:rPr>
          <w:sz w:val="24"/>
          <w:szCs w:val="24"/>
        </w:rPr>
        <w:t xml:space="preserve">Early prenatal care has improved for </w:t>
      </w:r>
      <w:smartTag w:uri="urn:schemas-microsoft-com:office:smarttags" w:element="State">
        <w:smartTag w:uri="urn:schemas-microsoft-com:office:smarttags" w:element="place">
          <w:r>
            <w:rPr>
              <w:sz w:val="24"/>
              <w:szCs w:val="24"/>
            </w:rPr>
            <w:t>Nevada</w:t>
          </w:r>
        </w:smartTag>
      </w:smartTag>
      <w:r>
        <w:rPr>
          <w:sz w:val="24"/>
          <w:szCs w:val="24"/>
        </w:rPr>
        <w:t>, from 67% in 2002 to 75% in 2011.  Immunization improved to 85% through 2011, but additional vaccine requirements resulted in a drop to 65% in 2012, with a modest improvement to 68% in 2015.</w:t>
      </w:r>
      <w:r>
        <w:rPr>
          <w:rStyle w:val="FootnoteReference"/>
          <w:sz w:val="24"/>
          <w:szCs w:val="24"/>
        </w:rPr>
        <w:footnoteReference w:id="22"/>
      </w:r>
      <w:r>
        <w:rPr>
          <w:sz w:val="24"/>
          <w:szCs w:val="24"/>
        </w:rPr>
        <w:t xml:space="preserve">  </w:t>
      </w:r>
      <w:smartTag w:uri="urn:schemas-microsoft-com:office:smarttags" w:element="State">
        <w:smartTag w:uri="urn:schemas-microsoft-com:office:smarttags" w:element="place">
          <w:r>
            <w:rPr>
              <w:sz w:val="24"/>
              <w:szCs w:val="24"/>
            </w:rPr>
            <w:t>Nevada</w:t>
          </w:r>
        </w:smartTag>
      </w:smartTag>
      <w:r>
        <w:rPr>
          <w:sz w:val="24"/>
          <w:szCs w:val="24"/>
        </w:rPr>
        <w:t xml:space="preserve"> ranks last, at 52%, for the number of adults aged 65 and over who have had a flu shot in the past year, but does a little better at 74% for blood cholesterol checks within the </w:t>
      </w:r>
      <w:r>
        <w:rPr>
          <w:sz w:val="24"/>
          <w:szCs w:val="24"/>
        </w:rPr>
        <w:lastRenderedPageBreak/>
        <w:t>last 5 years.  Mammograms, pap smears and colorectal cancer screening at the recommended ages are at 67%, 73% and 61% respectively, all several points below the national average.</w:t>
      </w:r>
      <w:r>
        <w:rPr>
          <w:rStyle w:val="FootnoteReference"/>
          <w:sz w:val="24"/>
          <w:szCs w:val="24"/>
        </w:rPr>
        <w:footnoteReference w:id="23"/>
      </w:r>
    </w:p>
    <w:p w:rsidR="0074428D" w:rsidRDefault="0074428D" w:rsidP="00C41386">
      <w:pPr>
        <w:spacing w:after="0" w:line="240" w:lineRule="auto"/>
        <w:rPr>
          <w:sz w:val="24"/>
          <w:szCs w:val="24"/>
        </w:rPr>
      </w:pPr>
      <w:r>
        <w:rPr>
          <w:sz w:val="24"/>
          <w:szCs w:val="24"/>
        </w:rPr>
        <w:t xml:space="preserve">Dental visits have declined over the decade, both statewide and nationally, to 60% and 65%, respectively, in 2015.  </w:t>
      </w:r>
      <w:smartTag w:uri="urn:schemas-microsoft-com:office:smarttags" w:element="State">
        <w:smartTag w:uri="urn:schemas-microsoft-com:office:smarttags" w:element="place">
          <w:r>
            <w:rPr>
              <w:sz w:val="24"/>
              <w:szCs w:val="24"/>
            </w:rPr>
            <w:t>Nevada</w:t>
          </w:r>
        </w:smartTag>
      </w:smartTag>
      <w:r>
        <w:rPr>
          <w:sz w:val="24"/>
          <w:szCs w:val="24"/>
        </w:rPr>
        <w:t xml:space="preserve"> has fewer primary care physicians per 100,000 at 86 in 2015, compared to 127 nationally.</w:t>
      </w:r>
      <w:r>
        <w:rPr>
          <w:rStyle w:val="FootnoteReference"/>
          <w:sz w:val="24"/>
          <w:szCs w:val="24"/>
        </w:rPr>
        <w:footnoteReference w:id="24"/>
      </w:r>
      <w:r>
        <w:rPr>
          <w:sz w:val="24"/>
          <w:szCs w:val="24"/>
        </w:rPr>
        <w:t xml:space="preserve">  This measure is elaborated b</w:t>
      </w:r>
      <w:r w:rsidR="00CF65F8">
        <w:rPr>
          <w:sz w:val="24"/>
          <w:szCs w:val="24"/>
        </w:rPr>
        <w:t>elow, in the section on Health P</w:t>
      </w:r>
      <w:r>
        <w:rPr>
          <w:sz w:val="24"/>
          <w:szCs w:val="24"/>
        </w:rPr>
        <w:t xml:space="preserve">rofessional </w:t>
      </w:r>
      <w:r w:rsidR="00CF65F8">
        <w:rPr>
          <w:sz w:val="24"/>
          <w:szCs w:val="24"/>
        </w:rPr>
        <w:t>S</w:t>
      </w:r>
      <w:r>
        <w:rPr>
          <w:sz w:val="24"/>
          <w:szCs w:val="24"/>
        </w:rPr>
        <w:t xml:space="preserve">hortage </w:t>
      </w:r>
      <w:r w:rsidR="00CF65F8">
        <w:rPr>
          <w:sz w:val="24"/>
          <w:szCs w:val="24"/>
        </w:rPr>
        <w:t>A</w:t>
      </w:r>
      <w:r>
        <w:rPr>
          <w:sz w:val="24"/>
          <w:szCs w:val="24"/>
        </w:rPr>
        <w:t xml:space="preserve">rea </w:t>
      </w:r>
      <w:r w:rsidR="00CF65F8">
        <w:rPr>
          <w:sz w:val="24"/>
          <w:szCs w:val="24"/>
        </w:rPr>
        <w:t>D</w:t>
      </w:r>
      <w:r>
        <w:rPr>
          <w:sz w:val="24"/>
          <w:szCs w:val="24"/>
        </w:rPr>
        <w:t>esignations.</w:t>
      </w:r>
    </w:p>
    <w:p w:rsidR="0074428D" w:rsidRDefault="0074428D" w:rsidP="00C41386">
      <w:pPr>
        <w:spacing w:after="0" w:line="240" w:lineRule="auto"/>
        <w:rPr>
          <w:sz w:val="24"/>
          <w:szCs w:val="24"/>
        </w:rPr>
      </w:pPr>
    </w:p>
    <w:p w:rsidR="0074428D" w:rsidRDefault="0074428D" w:rsidP="00C41386">
      <w:pPr>
        <w:spacing w:after="0" w:line="240" w:lineRule="auto"/>
        <w:rPr>
          <w:sz w:val="24"/>
          <w:szCs w:val="24"/>
        </w:rPr>
      </w:pPr>
      <w:r>
        <w:rPr>
          <w:sz w:val="24"/>
          <w:szCs w:val="24"/>
        </w:rPr>
        <w:t>Hospital-related measures show mixed results with: improvement on preventable hospitalizations at 46 per 1,000 Medicare recipients, compared to 58 nationally in 2015; slightly higher rates of death in low mortality diagnosis related groups and infections due to medical care; and at or near the bottom for appropriate timing of antibiotics for surgery patients.  The percent with heart failure who received recommended hospital care is just above the national average at 96%, while dramatic improvement has been made for hospital patients with pneumonia who received recommended hospital care at 93%.  Hospice patients receiving care consistent with stated end-of-life wishes is slightly below the national average at 93%.</w:t>
      </w:r>
      <w:r>
        <w:rPr>
          <w:rStyle w:val="FootnoteReference"/>
          <w:sz w:val="24"/>
          <w:szCs w:val="24"/>
        </w:rPr>
        <w:footnoteReference w:id="25"/>
      </w:r>
    </w:p>
    <w:p w:rsidR="0074428D" w:rsidRDefault="0074428D" w:rsidP="00C41386">
      <w:pPr>
        <w:spacing w:after="0" w:line="240" w:lineRule="auto"/>
        <w:rPr>
          <w:sz w:val="24"/>
          <w:szCs w:val="24"/>
        </w:rPr>
      </w:pPr>
    </w:p>
    <w:p w:rsidR="0074428D" w:rsidRDefault="0074428D" w:rsidP="00C41386">
      <w:pPr>
        <w:spacing w:after="0" w:line="240" w:lineRule="auto"/>
        <w:rPr>
          <w:sz w:val="24"/>
          <w:szCs w:val="24"/>
          <w:u w:val="single"/>
        </w:rPr>
      </w:pPr>
      <w:r>
        <w:rPr>
          <w:sz w:val="24"/>
          <w:szCs w:val="24"/>
          <w:u w:val="single"/>
        </w:rPr>
        <w:t>Mental Health</w:t>
      </w:r>
    </w:p>
    <w:p w:rsidR="0074428D" w:rsidRDefault="0074428D" w:rsidP="00C41386">
      <w:pPr>
        <w:spacing w:after="0" w:line="240" w:lineRule="auto"/>
        <w:rPr>
          <w:sz w:val="24"/>
          <w:szCs w:val="24"/>
          <w:u w:val="single"/>
        </w:rPr>
      </w:pPr>
    </w:p>
    <w:p w:rsidR="0074428D" w:rsidRPr="00243FE5" w:rsidRDefault="0074428D" w:rsidP="00C41386">
      <w:pPr>
        <w:spacing w:after="0" w:line="240" w:lineRule="auto"/>
        <w:rPr>
          <w:sz w:val="24"/>
          <w:szCs w:val="24"/>
        </w:rPr>
      </w:pPr>
      <w:r>
        <w:rPr>
          <w:sz w:val="24"/>
          <w:szCs w:val="24"/>
        </w:rPr>
        <w:t xml:space="preserve">The average number of poor mental health days per month reported by Nevadans rose slightly to 4.0% through the recession, and declined to 3.4% in 2015, slightly below the national average.  Frequent mental distress is reported at a slightly higher rate than nationally.  Nevada’s per capita mental health spending is significantly below the national average at $89 compared to $120, and the state’s adult public mental healthcare system has earned failing grades for </w:t>
      </w:r>
      <w:r w:rsidRPr="008F0520">
        <w:rPr>
          <w:i/>
          <w:sz w:val="24"/>
          <w:szCs w:val="24"/>
        </w:rPr>
        <w:t>health promotion and measurement</w:t>
      </w:r>
      <w:r>
        <w:rPr>
          <w:sz w:val="24"/>
          <w:szCs w:val="24"/>
        </w:rPr>
        <w:t xml:space="preserve">, as well as </w:t>
      </w:r>
      <w:r w:rsidRPr="008F0520">
        <w:rPr>
          <w:i/>
          <w:sz w:val="24"/>
          <w:szCs w:val="24"/>
        </w:rPr>
        <w:t>community integration and social inclusion</w:t>
      </w:r>
      <w:r>
        <w:rPr>
          <w:sz w:val="24"/>
          <w:szCs w:val="24"/>
        </w:rPr>
        <w:t>, from the National Alliance on Mental Illness.</w:t>
      </w:r>
      <w:r>
        <w:rPr>
          <w:rStyle w:val="FootnoteReference"/>
          <w:sz w:val="24"/>
          <w:szCs w:val="24"/>
        </w:rPr>
        <w:footnoteReference w:id="26"/>
      </w:r>
    </w:p>
    <w:p w:rsidR="0074428D" w:rsidRPr="00354292" w:rsidRDefault="0074428D" w:rsidP="00C41386">
      <w:pPr>
        <w:spacing w:after="0" w:line="240" w:lineRule="auto"/>
        <w:rPr>
          <w:sz w:val="24"/>
          <w:szCs w:val="24"/>
        </w:rPr>
      </w:pPr>
    </w:p>
    <w:p w:rsidR="00CF65F8" w:rsidRDefault="00CF65F8" w:rsidP="00C41386">
      <w:pPr>
        <w:spacing w:after="0" w:line="240" w:lineRule="auto"/>
        <w:rPr>
          <w:sz w:val="24"/>
          <w:szCs w:val="24"/>
          <w:u w:val="single"/>
        </w:rPr>
      </w:pPr>
    </w:p>
    <w:p w:rsidR="00CF65F8" w:rsidRDefault="00CF65F8" w:rsidP="00C41386">
      <w:pPr>
        <w:spacing w:after="0" w:line="240" w:lineRule="auto"/>
        <w:rPr>
          <w:sz w:val="24"/>
          <w:szCs w:val="24"/>
          <w:u w:val="single"/>
        </w:rPr>
      </w:pPr>
    </w:p>
    <w:p w:rsidR="00CF65F8" w:rsidRDefault="00CF65F8" w:rsidP="00C41386">
      <w:pPr>
        <w:spacing w:after="0" w:line="240" w:lineRule="auto"/>
        <w:rPr>
          <w:sz w:val="24"/>
          <w:szCs w:val="24"/>
          <w:u w:val="single"/>
        </w:rPr>
      </w:pPr>
    </w:p>
    <w:p w:rsidR="00CF65F8" w:rsidRDefault="00CF65F8" w:rsidP="00C41386">
      <w:pPr>
        <w:spacing w:after="0" w:line="240" w:lineRule="auto"/>
        <w:rPr>
          <w:sz w:val="24"/>
          <w:szCs w:val="24"/>
          <w:u w:val="single"/>
        </w:rPr>
      </w:pPr>
    </w:p>
    <w:p w:rsidR="00CF65F8" w:rsidRDefault="00CF65F8" w:rsidP="00C41386">
      <w:pPr>
        <w:spacing w:after="0" w:line="240" w:lineRule="auto"/>
        <w:rPr>
          <w:sz w:val="24"/>
          <w:szCs w:val="24"/>
          <w:u w:val="single"/>
        </w:rPr>
      </w:pPr>
    </w:p>
    <w:p w:rsidR="0074428D" w:rsidRDefault="0074428D" w:rsidP="00C41386">
      <w:pPr>
        <w:spacing w:after="0" w:line="240" w:lineRule="auto"/>
        <w:rPr>
          <w:sz w:val="24"/>
          <w:szCs w:val="24"/>
          <w:u w:val="single"/>
        </w:rPr>
      </w:pPr>
      <w:r>
        <w:rPr>
          <w:sz w:val="24"/>
          <w:szCs w:val="24"/>
          <w:u w:val="single"/>
        </w:rPr>
        <w:t>Suicide</w:t>
      </w:r>
    </w:p>
    <w:p w:rsidR="0074428D" w:rsidRDefault="0074428D" w:rsidP="00C41386">
      <w:pPr>
        <w:spacing w:after="0" w:line="240" w:lineRule="auto"/>
        <w:rPr>
          <w:sz w:val="24"/>
          <w:szCs w:val="24"/>
          <w:u w:val="single"/>
        </w:rPr>
      </w:pPr>
    </w:p>
    <w:p w:rsidR="0074428D" w:rsidRDefault="0074428D" w:rsidP="00C41386">
      <w:pPr>
        <w:spacing w:after="0" w:line="240" w:lineRule="auto"/>
        <w:rPr>
          <w:sz w:val="24"/>
          <w:szCs w:val="24"/>
        </w:rPr>
      </w:pPr>
      <w:r>
        <w:rPr>
          <w:sz w:val="24"/>
          <w:szCs w:val="24"/>
        </w:rPr>
        <w:lastRenderedPageBreak/>
        <w:t xml:space="preserve">In 2014, </w:t>
      </w:r>
      <w:smartTag w:uri="urn:schemas-microsoft-com:office:smarttags" w:element="place">
        <w:smartTag w:uri="urn:schemas-microsoft-com:office:smarttags" w:element="State">
          <w:r>
            <w:rPr>
              <w:sz w:val="24"/>
              <w:szCs w:val="24"/>
            </w:rPr>
            <w:t>Nevada</w:t>
          </w:r>
        </w:smartTag>
      </w:smartTag>
      <w:r>
        <w:rPr>
          <w:sz w:val="24"/>
          <w:szCs w:val="24"/>
        </w:rPr>
        <w:t>’s suicide rate was above the national average of 13, at 20 per 100,000.  Among seniors, the rate is more than twice the national average at 35 per 100,000 compared to 17.  Among high school students, the rate is approximately 11% compared to 8% nationally.</w:t>
      </w:r>
      <w:r>
        <w:rPr>
          <w:rStyle w:val="FootnoteReference"/>
          <w:sz w:val="24"/>
          <w:szCs w:val="24"/>
        </w:rPr>
        <w:footnoteReference w:id="27"/>
      </w:r>
    </w:p>
    <w:p w:rsidR="0074428D" w:rsidRPr="008F0520" w:rsidRDefault="0074428D" w:rsidP="00C41386">
      <w:pPr>
        <w:spacing w:after="0" w:line="240" w:lineRule="auto"/>
        <w:rPr>
          <w:sz w:val="24"/>
          <w:szCs w:val="24"/>
        </w:rPr>
      </w:pPr>
    </w:p>
    <w:p w:rsidR="0074428D" w:rsidRPr="00412835" w:rsidRDefault="0074428D" w:rsidP="00C41386">
      <w:pPr>
        <w:spacing w:after="0" w:line="240" w:lineRule="auto"/>
        <w:rPr>
          <w:sz w:val="24"/>
          <w:szCs w:val="24"/>
          <w:u w:val="single"/>
        </w:rPr>
      </w:pPr>
      <w:r w:rsidRPr="00412835">
        <w:rPr>
          <w:sz w:val="24"/>
          <w:szCs w:val="24"/>
          <w:u w:val="single"/>
        </w:rPr>
        <w:t>Health Insurance</w:t>
      </w:r>
    </w:p>
    <w:p w:rsidR="0074428D" w:rsidRDefault="0074428D" w:rsidP="00C41386">
      <w:pPr>
        <w:spacing w:after="0" w:line="240" w:lineRule="auto"/>
        <w:rPr>
          <w:sz w:val="24"/>
          <w:szCs w:val="24"/>
        </w:rPr>
      </w:pPr>
    </w:p>
    <w:p w:rsidR="0074428D" w:rsidRDefault="0074428D" w:rsidP="00C41386">
      <w:pPr>
        <w:spacing w:after="0" w:line="240" w:lineRule="auto"/>
        <w:rPr>
          <w:sz w:val="24"/>
          <w:szCs w:val="24"/>
        </w:rPr>
      </w:pPr>
      <w:r>
        <w:rPr>
          <w:sz w:val="24"/>
          <w:szCs w:val="24"/>
        </w:rPr>
        <w:t>The number of private sector establishments offering health insurance to employees was at 53% in 2013, down from 63% in 2008, compared to a national average of 50%.  Average health insurance premiums were slightly lower than the national average.</w:t>
      </w:r>
      <w:r>
        <w:rPr>
          <w:rStyle w:val="FootnoteReference"/>
          <w:sz w:val="24"/>
          <w:szCs w:val="24"/>
        </w:rPr>
        <w:footnoteReference w:id="28"/>
      </w:r>
      <w:r>
        <w:rPr>
          <w:sz w:val="24"/>
          <w:szCs w:val="24"/>
        </w:rPr>
        <w:t xml:space="preserve">  Although </w:t>
      </w:r>
      <w:smartTag w:uri="urn:schemas-microsoft-com:office:smarttags" w:element="place">
        <w:smartTag w:uri="urn:schemas-microsoft-com:office:smarttags" w:element="State">
          <w:r>
            <w:rPr>
              <w:sz w:val="24"/>
              <w:szCs w:val="24"/>
            </w:rPr>
            <w:t>Nevada</w:t>
          </w:r>
        </w:smartTag>
      </w:smartTag>
      <w:r>
        <w:rPr>
          <w:sz w:val="24"/>
          <w:szCs w:val="24"/>
        </w:rPr>
        <w:t xml:space="preserve"> has made significant progress from a high of 23% uninsured in 2010 to 15% in 2014, it is still higher than the 12% rate nationally, for total population.</w:t>
      </w:r>
      <w:r>
        <w:rPr>
          <w:rStyle w:val="FootnoteReference"/>
          <w:sz w:val="24"/>
          <w:szCs w:val="24"/>
        </w:rPr>
        <w:footnoteReference w:id="29"/>
      </w:r>
      <w:r>
        <w:rPr>
          <w:sz w:val="24"/>
          <w:szCs w:val="24"/>
        </w:rPr>
        <w:t xml:space="preserve"> </w:t>
      </w:r>
    </w:p>
    <w:p w:rsidR="0074428D" w:rsidRDefault="0074428D" w:rsidP="00C41386">
      <w:pPr>
        <w:spacing w:after="0" w:line="240" w:lineRule="auto"/>
        <w:rPr>
          <w:sz w:val="24"/>
          <w:szCs w:val="24"/>
        </w:rPr>
      </w:pPr>
    </w:p>
    <w:p w:rsidR="0074428D" w:rsidRDefault="0074428D" w:rsidP="00C41386">
      <w:pPr>
        <w:spacing w:after="0" w:line="240" w:lineRule="auto"/>
        <w:rPr>
          <w:sz w:val="24"/>
          <w:szCs w:val="24"/>
        </w:rPr>
      </w:pPr>
      <w:r>
        <w:rPr>
          <w:sz w:val="24"/>
          <w:szCs w:val="24"/>
        </w:rPr>
        <w:t xml:space="preserve">While most states saw a significant decrease in rates of uninsured children between 2013 and 2014, </w:t>
      </w:r>
      <w:smartTag w:uri="urn:schemas-microsoft-com:office:smarttags" w:element="place">
        <w:smartTag w:uri="urn:schemas-microsoft-com:office:smarttags" w:element="State">
          <w:r>
            <w:rPr>
              <w:sz w:val="24"/>
              <w:szCs w:val="24"/>
            </w:rPr>
            <w:t>Nevada</w:t>
          </w:r>
        </w:smartTag>
      </w:smartTag>
      <w:r>
        <w:rPr>
          <w:sz w:val="24"/>
          <w:szCs w:val="24"/>
        </w:rPr>
        <w:t xml:space="preserve"> had the highest percentage point drop from 14.4% to 10%.  However, there were only three states with uninsured children rates higher than 10% in 2014.  Despite expansion under the Affordable Care Act, disparities still exist: poor children in </w:t>
      </w:r>
      <w:smartTag w:uri="urn:schemas-microsoft-com:office:smarttags" w:element="place">
        <w:smartTag w:uri="urn:schemas-microsoft-com:office:smarttags" w:element="State">
          <w:r>
            <w:rPr>
              <w:sz w:val="24"/>
              <w:szCs w:val="24"/>
            </w:rPr>
            <w:t>Nevada</w:t>
          </w:r>
        </w:smartTag>
      </w:smartTag>
      <w:r>
        <w:rPr>
          <w:sz w:val="24"/>
          <w:szCs w:val="24"/>
        </w:rPr>
        <w:t xml:space="preserve"> (below 138% of federal poverty guidelines) had an uninsured rate of 13.2%; the rate for uninsured Hispanic children was 14% compared to 7.2% and 7.3% for white and non-white children, respectively.</w:t>
      </w:r>
      <w:r>
        <w:rPr>
          <w:rStyle w:val="FootnoteReference"/>
          <w:sz w:val="24"/>
          <w:szCs w:val="24"/>
        </w:rPr>
        <w:footnoteReference w:id="30"/>
      </w:r>
    </w:p>
    <w:p w:rsidR="0074428D" w:rsidRDefault="0074428D" w:rsidP="00C41386">
      <w:pPr>
        <w:spacing w:after="0" w:line="240" w:lineRule="auto"/>
        <w:rPr>
          <w:sz w:val="24"/>
          <w:szCs w:val="24"/>
        </w:rPr>
      </w:pPr>
    </w:p>
    <w:p w:rsidR="0074428D" w:rsidRPr="00A361E3" w:rsidRDefault="0074428D" w:rsidP="0082317C">
      <w:pPr>
        <w:rPr>
          <w:sz w:val="24"/>
          <w:szCs w:val="24"/>
        </w:rPr>
      </w:pPr>
      <w:r>
        <w:rPr>
          <w:sz w:val="24"/>
          <w:szCs w:val="24"/>
        </w:rPr>
        <w:t>Nevada’s Medicaid spending per capita ranked at or near the bottom, among the 50 states, for most of the last decade, rising to 39</w:t>
      </w:r>
      <w:r w:rsidRPr="001D76A5">
        <w:rPr>
          <w:sz w:val="24"/>
          <w:szCs w:val="24"/>
          <w:vertAlign w:val="superscript"/>
        </w:rPr>
        <w:t>th</w:t>
      </w:r>
      <w:r>
        <w:rPr>
          <w:sz w:val="24"/>
          <w:szCs w:val="24"/>
        </w:rPr>
        <w:t xml:space="preserve"> in FY14 and 36</w:t>
      </w:r>
      <w:r w:rsidRPr="001D76A5">
        <w:rPr>
          <w:sz w:val="24"/>
          <w:szCs w:val="24"/>
          <w:vertAlign w:val="superscript"/>
        </w:rPr>
        <w:t>th</w:t>
      </w:r>
      <w:r>
        <w:rPr>
          <w:sz w:val="24"/>
          <w:szCs w:val="24"/>
        </w:rPr>
        <w:t xml:space="preserve"> in FY15,</w:t>
      </w:r>
      <w:r>
        <w:rPr>
          <w:rStyle w:val="FootnoteReference"/>
          <w:sz w:val="24"/>
          <w:szCs w:val="24"/>
        </w:rPr>
        <w:footnoteReference w:id="31"/>
      </w:r>
      <w:r>
        <w:rPr>
          <w:sz w:val="24"/>
          <w:szCs w:val="24"/>
        </w:rPr>
        <w:t xml:space="preserve"> reflecting expansion of Medicaid under the Affordable Care Act, </w:t>
      </w:r>
      <w:r w:rsidRPr="00A361E3">
        <w:rPr>
          <w:sz w:val="24"/>
          <w:szCs w:val="24"/>
        </w:rPr>
        <w:t>going from 20% uninsured in 2013 to 15% uninsured in 2015.  In this timeframe, Medicaid enrollment in Nevada has increased by 73 percent – the second highest percentage increase in the US, after Kentucky.</w:t>
      </w:r>
      <w:r w:rsidRPr="00A361E3">
        <w:rPr>
          <w:rStyle w:val="FootnoteReference"/>
          <w:sz w:val="24"/>
          <w:szCs w:val="24"/>
        </w:rPr>
        <w:footnoteReference w:id="32"/>
      </w:r>
      <w:r w:rsidRPr="00A361E3">
        <w:rPr>
          <w:color w:val="BFBFBF"/>
          <w:sz w:val="24"/>
          <w:szCs w:val="24"/>
        </w:rPr>
        <w:t xml:space="preserve">  </w:t>
      </w:r>
      <w:r w:rsidRPr="00A361E3">
        <w:rPr>
          <w:sz w:val="24"/>
          <w:szCs w:val="24"/>
        </w:rPr>
        <w:t xml:space="preserve">In actual dollars, Nevada Medicaid and Check Up spent $1,778,419,393 in state fiscal year 2014, with 60% federal share and 40% state share.  Increased expenditures of $154,816,777 covered 125,989 new enrollees at the end of </w:t>
      </w:r>
      <w:smartTag w:uri="urn:schemas-microsoft-com:office:smarttags" w:element="stockticker">
        <w:r w:rsidRPr="00A361E3">
          <w:rPr>
            <w:sz w:val="24"/>
            <w:szCs w:val="24"/>
          </w:rPr>
          <w:t>SFY</w:t>
        </w:r>
      </w:smartTag>
      <w:r w:rsidRPr="00A361E3">
        <w:rPr>
          <w:sz w:val="24"/>
          <w:szCs w:val="24"/>
        </w:rPr>
        <w:t xml:space="preserve"> 2014, who were 100% federally funded.</w:t>
      </w:r>
      <w:r w:rsidRPr="00A361E3">
        <w:rPr>
          <w:rStyle w:val="FootnoteReference"/>
          <w:sz w:val="24"/>
          <w:szCs w:val="24"/>
        </w:rPr>
        <w:footnoteReference w:id="33"/>
      </w:r>
      <w:r w:rsidRPr="00A361E3">
        <w:rPr>
          <w:sz w:val="24"/>
          <w:szCs w:val="24"/>
        </w:rPr>
        <w:t xml:space="preserve"> </w:t>
      </w:r>
    </w:p>
    <w:p w:rsidR="0074428D" w:rsidRPr="00A361E3" w:rsidRDefault="00CF65F8" w:rsidP="0082317C">
      <w:pPr>
        <w:rPr>
          <w:sz w:val="24"/>
          <w:szCs w:val="24"/>
        </w:rPr>
      </w:pPr>
      <w:r>
        <w:rPr>
          <w:sz w:val="24"/>
          <w:szCs w:val="24"/>
        </w:rPr>
        <w:lastRenderedPageBreak/>
        <w:t xml:space="preserve">The </w:t>
      </w:r>
      <w:smartTag w:uri="urn:schemas-microsoft-com:office:smarttags" w:element="City">
        <w:smartTag w:uri="urn:schemas-microsoft-com:office:smarttags" w:element="place">
          <w:r>
            <w:rPr>
              <w:sz w:val="24"/>
              <w:szCs w:val="24"/>
            </w:rPr>
            <w:t>high point</w:t>
          </w:r>
        </w:smartTag>
      </w:smartTag>
      <w:r>
        <w:rPr>
          <w:sz w:val="24"/>
          <w:szCs w:val="24"/>
        </w:rPr>
        <w:t xml:space="preserve"> for</w:t>
      </w:r>
      <w:r w:rsidR="0074428D" w:rsidRPr="00A361E3">
        <w:rPr>
          <w:sz w:val="24"/>
          <w:szCs w:val="24"/>
        </w:rPr>
        <w:t xml:space="preserve"> Medicaid eligibility for pregnant women in </w:t>
      </w:r>
      <w:smartTag w:uri="urn:schemas-microsoft-com:office:smarttags" w:element="State">
        <w:smartTag w:uri="urn:schemas-microsoft-com:office:smarttags" w:element="place">
          <w:r w:rsidR="0074428D" w:rsidRPr="00A361E3">
            <w:rPr>
              <w:sz w:val="24"/>
              <w:szCs w:val="24"/>
            </w:rPr>
            <w:t>Nevada</w:t>
          </w:r>
        </w:smartTag>
      </w:smartTag>
      <w:r>
        <w:rPr>
          <w:sz w:val="24"/>
          <w:szCs w:val="24"/>
        </w:rPr>
        <w:t xml:space="preserve"> was </w:t>
      </w:r>
      <w:r w:rsidR="0074428D" w:rsidRPr="00A361E3">
        <w:rPr>
          <w:sz w:val="24"/>
          <w:szCs w:val="24"/>
        </w:rPr>
        <w:t xml:space="preserve">185% of the federal poverty level through a </w:t>
      </w:r>
      <w:r w:rsidR="0074428D">
        <w:rPr>
          <w:sz w:val="24"/>
          <w:szCs w:val="24"/>
        </w:rPr>
        <w:t xml:space="preserve">Medicaid HIFA (Health Insurance Flexibility and Accountability) </w:t>
      </w:r>
      <w:r w:rsidR="0074428D" w:rsidRPr="00A361E3">
        <w:rPr>
          <w:sz w:val="24"/>
          <w:szCs w:val="24"/>
        </w:rPr>
        <w:t>waiver program that expired</w:t>
      </w:r>
      <w:r w:rsidR="0074428D">
        <w:rPr>
          <w:sz w:val="24"/>
          <w:szCs w:val="24"/>
        </w:rPr>
        <w:t xml:space="preserve"> in 2011</w:t>
      </w:r>
      <w:r w:rsidR="0074428D" w:rsidRPr="00A361E3">
        <w:rPr>
          <w:sz w:val="24"/>
          <w:szCs w:val="24"/>
        </w:rPr>
        <w:t xml:space="preserve">.  Although technically, this </w:t>
      </w:r>
      <w:r>
        <w:rPr>
          <w:sz w:val="24"/>
          <w:szCs w:val="24"/>
        </w:rPr>
        <w:t xml:space="preserve">rate </w:t>
      </w:r>
      <w:r w:rsidR="0074428D" w:rsidRPr="00A361E3">
        <w:rPr>
          <w:sz w:val="24"/>
          <w:szCs w:val="24"/>
        </w:rPr>
        <w:t>decreased to 164% of poverty guidelines in 2015,</w:t>
      </w:r>
      <w:r w:rsidR="0074428D" w:rsidRPr="00A361E3">
        <w:rPr>
          <w:rStyle w:val="FootnoteReference"/>
          <w:sz w:val="24"/>
          <w:szCs w:val="24"/>
        </w:rPr>
        <w:footnoteReference w:id="34"/>
      </w:r>
      <w:r w:rsidR="0074428D" w:rsidRPr="00A361E3">
        <w:rPr>
          <w:sz w:val="24"/>
          <w:szCs w:val="24"/>
        </w:rPr>
        <w:t xml:space="preserve"> the actual coverage is comparable </w:t>
      </w:r>
      <w:r>
        <w:rPr>
          <w:sz w:val="24"/>
          <w:szCs w:val="24"/>
        </w:rPr>
        <w:t xml:space="preserve">to pre-ACA levels </w:t>
      </w:r>
      <w:r w:rsidR="0074428D" w:rsidRPr="00A361E3">
        <w:rPr>
          <w:sz w:val="24"/>
          <w:szCs w:val="24"/>
        </w:rPr>
        <w:t>because categories of income that were previously included are now excluded, e.g., child support.</w:t>
      </w:r>
    </w:p>
    <w:p w:rsidR="0074428D" w:rsidRPr="00A361E3" w:rsidRDefault="0074428D" w:rsidP="0082317C">
      <w:pPr>
        <w:rPr>
          <w:sz w:val="24"/>
          <w:szCs w:val="24"/>
        </w:rPr>
      </w:pPr>
      <w:r w:rsidRPr="00A361E3">
        <w:rPr>
          <w:sz w:val="24"/>
          <w:szCs w:val="24"/>
        </w:rPr>
        <w:t>Nationally, Medicaid expenditures under long-term services and supports have been increasing for home and community-based services, while decreasing for institutional spending.  In 2013, home and community-based services spending, nationally, exceeded 50% of the total LTSS spending for the first time.  Nevada was slightly below the national average for HCBS spending, at 48.5%.</w:t>
      </w:r>
      <w:r w:rsidRPr="00A361E3">
        <w:rPr>
          <w:rStyle w:val="FootnoteReference"/>
          <w:sz w:val="24"/>
          <w:szCs w:val="24"/>
        </w:rPr>
        <w:footnoteReference w:id="35"/>
      </w:r>
    </w:p>
    <w:p w:rsidR="0074428D" w:rsidRDefault="0074428D" w:rsidP="00C41386">
      <w:pPr>
        <w:spacing w:after="0" w:line="240" w:lineRule="auto"/>
        <w:rPr>
          <w:b/>
          <w:sz w:val="24"/>
          <w:szCs w:val="24"/>
        </w:rPr>
      </w:pPr>
    </w:p>
    <w:p w:rsidR="0074428D" w:rsidRPr="000E5D4D" w:rsidRDefault="0074428D" w:rsidP="00C41386">
      <w:pPr>
        <w:spacing w:after="0" w:line="240" w:lineRule="auto"/>
        <w:rPr>
          <w:b/>
          <w:sz w:val="24"/>
          <w:szCs w:val="24"/>
        </w:rPr>
      </w:pPr>
      <w:r w:rsidRPr="000E5D4D">
        <w:rPr>
          <w:b/>
          <w:sz w:val="24"/>
          <w:szCs w:val="24"/>
        </w:rPr>
        <w:t xml:space="preserve">UNMET HEALTH </w:t>
      </w:r>
      <w:smartTag w:uri="urn:schemas-microsoft-com:office:smarttags" w:element="stockticker">
        <w:r w:rsidRPr="000E5D4D">
          <w:rPr>
            <w:b/>
            <w:sz w:val="24"/>
            <w:szCs w:val="24"/>
          </w:rPr>
          <w:t>CARE</w:t>
        </w:r>
      </w:smartTag>
      <w:r w:rsidRPr="000E5D4D">
        <w:rPr>
          <w:b/>
          <w:sz w:val="24"/>
          <w:szCs w:val="24"/>
        </w:rPr>
        <w:t xml:space="preserve"> NEEDS and DISPARITIES</w:t>
      </w:r>
    </w:p>
    <w:p w:rsidR="0074428D" w:rsidRPr="00380F42" w:rsidRDefault="0074428D" w:rsidP="00C41386">
      <w:pPr>
        <w:spacing w:after="0" w:line="240" w:lineRule="auto"/>
        <w:rPr>
          <w:sz w:val="24"/>
          <w:szCs w:val="24"/>
        </w:rPr>
      </w:pPr>
    </w:p>
    <w:p w:rsidR="0074428D" w:rsidRDefault="0074428D" w:rsidP="009A7C59">
      <w:pPr>
        <w:rPr>
          <w:sz w:val="24"/>
          <w:szCs w:val="24"/>
        </w:rPr>
      </w:pPr>
      <w:r>
        <w:rPr>
          <w:sz w:val="24"/>
          <w:szCs w:val="24"/>
        </w:rPr>
        <w:t xml:space="preserve">The Nevada </w:t>
      </w:r>
      <w:r w:rsidR="00CF65F8">
        <w:rPr>
          <w:sz w:val="24"/>
          <w:szCs w:val="24"/>
        </w:rPr>
        <w:t xml:space="preserve">PCO staff </w:t>
      </w:r>
      <w:r>
        <w:rPr>
          <w:sz w:val="24"/>
          <w:szCs w:val="24"/>
        </w:rPr>
        <w:t xml:space="preserve"> work closely with the Maternal, Child and Adolescent Health Program (MCAHP) to support access to care for these key populations.  The Nevada MCAHP recently conducted an extensive process for their Five Year Needs Assessment</w:t>
      </w:r>
      <w:r>
        <w:rPr>
          <w:rStyle w:val="FootnoteReference"/>
          <w:sz w:val="24"/>
          <w:szCs w:val="24"/>
        </w:rPr>
        <w:footnoteReference w:id="36"/>
      </w:r>
      <w:r>
        <w:rPr>
          <w:sz w:val="24"/>
          <w:szCs w:val="24"/>
        </w:rPr>
        <w:t xml:space="preserve">, in which the PCO participated and continues to benefit.  A broad range of stakeholders and consumers were surveyed and invited to participate in focus groups, facilitated in Clark, Elko and Washoe counties, reflecting urban, rural, north and south regions with diverse industries and cultures.  </w:t>
      </w:r>
    </w:p>
    <w:p w:rsidR="0074428D" w:rsidRPr="00200763" w:rsidRDefault="0074428D" w:rsidP="009A7C59">
      <w:pPr>
        <w:rPr>
          <w:sz w:val="24"/>
          <w:szCs w:val="24"/>
          <w:u w:val="single"/>
        </w:rPr>
      </w:pPr>
      <w:r>
        <w:rPr>
          <w:sz w:val="24"/>
          <w:szCs w:val="24"/>
        </w:rPr>
        <w:t>Stakeholders included public and private agencies, both non-profit and for profit.  Consumers included women with children who were primarily under</w:t>
      </w:r>
      <w:r w:rsidR="00CF65F8">
        <w:rPr>
          <w:sz w:val="24"/>
          <w:szCs w:val="24"/>
        </w:rPr>
        <w:t>-</w:t>
      </w:r>
      <w:r>
        <w:rPr>
          <w:sz w:val="24"/>
          <w:szCs w:val="24"/>
        </w:rPr>
        <w:t xml:space="preserve"> or uninsured, had children with special needs, or utilized government funded social service programs, such as Women, Infants, and Children (WIC), Supplemental Nutrition Assistance Program (</w:t>
      </w:r>
      <w:smartTag w:uri="urn:schemas-microsoft-com:office:smarttags" w:element="stockticker">
        <w:r>
          <w:rPr>
            <w:sz w:val="24"/>
            <w:szCs w:val="24"/>
          </w:rPr>
          <w:t>SNAP</w:t>
        </w:r>
      </w:smartTag>
      <w:r>
        <w:rPr>
          <w:sz w:val="24"/>
          <w:szCs w:val="24"/>
        </w:rPr>
        <w:t xml:space="preserve">) or Temporary Assistance for Needy Families (TANF).  Primary data gained through participation from these stakeholders and consumers were used in combination with secondary data sources to develop priorities for six population domains: </w:t>
      </w:r>
      <w:r w:rsidRPr="00200763">
        <w:rPr>
          <w:sz w:val="24"/>
          <w:szCs w:val="24"/>
          <w:u w:val="single"/>
        </w:rPr>
        <w:t>1) Women’s/Maternal Health; 2) Perinatal/Infant Health; 3) Child Health; 4) Adolescent Health; 5) Children and Youth with Special Health Care Needs; and 6) Cross-Cutting/Life Course.</w:t>
      </w:r>
    </w:p>
    <w:p w:rsidR="0074428D" w:rsidRPr="00AB3B88" w:rsidRDefault="0074428D" w:rsidP="009A7C59">
      <w:pPr>
        <w:rPr>
          <w:sz w:val="24"/>
          <w:szCs w:val="24"/>
        </w:rPr>
      </w:pPr>
      <w:r>
        <w:rPr>
          <w:sz w:val="24"/>
          <w:szCs w:val="24"/>
        </w:rPr>
        <w:lastRenderedPageBreak/>
        <w:t xml:space="preserve">Significant racial/ethnic disparities for health outcomes in </w:t>
      </w:r>
      <w:smartTag w:uri="urn:schemas-microsoft-com:office:smarttags" w:element="place">
        <w:smartTag w:uri="urn:schemas-microsoft-com:office:smarttags" w:element="State">
          <w:r>
            <w:rPr>
              <w:sz w:val="24"/>
              <w:szCs w:val="24"/>
            </w:rPr>
            <w:t>Nevada</w:t>
          </w:r>
        </w:smartTag>
      </w:smartTag>
      <w:r>
        <w:rPr>
          <w:sz w:val="24"/>
          <w:szCs w:val="24"/>
        </w:rPr>
        <w:t xml:space="preserve"> were explored through a combination of the </w:t>
      </w:r>
      <w:r>
        <w:rPr>
          <w:i/>
          <w:sz w:val="24"/>
          <w:szCs w:val="24"/>
        </w:rPr>
        <w:t>life course perspective</w:t>
      </w:r>
      <w:r>
        <w:rPr>
          <w:sz w:val="24"/>
          <w:szCs w:val="24"/>
        </w:rPr>
        <w:t xml:space="preserve">, the </w:t>
      </w:r>
      <w:smartTag w:uri="urn:schemas-microsoft-com:office:smarttags" w:element="stockticker">
        <w:r w:rsidRPr="00AB3B88">
          <w:rPr>
            <w:i/>
            <w:sz w:val="24"/>
            <w:szCs w:val="24"/>
          </w:rPr>
          <w:t>MCH</w:t>
        </w:r>
      </w:smartTag>
      <w:r w:rsidRPr="00AB3B88">
        <w:rPr>
          <w:i/>
          <w:sz w:val="24"/>
          <w:szCs w:val="24"/>
        </w:rPr>
        <w:t xml:space="preserve"> Pyramid of Health Services</w:t>
      </w:r>
      <w:r>
        <w:rPr>
          <w:sz w:val="24"/>
          <w:szCs w:val="24"/>
        </w:rPr>
        <w:t xml:space="preserve"> and the </w:t>
      </w:r>
      <w:r w:rsidRPr="00AB3B88">
        <w:rPr>
          <w:i/>
          <w:sz w:val="24"/>
          <w:szCs w:val="24"/>
        </w:rPr>
        <w:t xml:space="preserve">10 </w:t>
      </w:r>
      <w:smartTag w:uri="urn:schemas-microsoft-com:office:smarttags" w:element="stockticker">
        <w:r w:rsidRPr="00AB3B88">
          <w:rPr>
            <w:i/>
            <w:sz w:val="24"/>
            <w:szCs w:val="24"/>
          </w:rPr>
          <w:t>MCH</w:t>
        </w:r>
      </w:smartTag>
      <w:r w:rsidRPr="00AB3B88">
        <w:rPr>
          <w:i/>
          <w:sz w:val="24"/>
          <w:szCs w:val="24"/>
        </w:rPr>
        <w:t xml:space="preserve"> Essential Services</w:t>
      </w:r>
      <w:r>
        <w:rPr>
          <w:i/>
          <w:sz w:val="24"/>
          <w:szCs w:val="24"/>
        </w:rPr>
        <w:t>.</w:t>
      </w:r>
      <w:r>
        <w:rPr>
          <w:sz w:val="24"/>
          <w:szCs w:val="24"/>
        </w:rPr>
        <w:t xml:space="preserve">  </w:t>
      </w:r>
    </w:p>
    <w:p w:rsidR="0074428D" w:rsidRPr="00C85F0F" w:rsidRDefault="0074428D" w:rsidP="009A7C59">
      <w:pPr>
        <w:rPr>
          <w:sz w:val="24"/>
          <w:szCs w:val="24"/>
          <w:u w:val="single"/>
        </w:rPr>
      </w:pPr>
      <w:r w:rsidRPr="00C85F0F">
        <w:rPr>
          <w:sz w:val="24"/>
          <w:szCs w:val="24"/>
          <w:u w:val="single"/>
        </w:rPr>
        <w:t>Women’s/Maternal Health</w:t>
      </w:r>
    </w:p>
    <w:p w:rsidR="0074428D" w:rsidRDefault="0074428D" w:rsidP="009A7C59">
      <w:pPr>
        <w:rPr>
          <w:sz w:val="24"/>
          <w:szCs w:val="24"/>
        </w:rPr>
      </w:pPr>
      <w:r>
        <w:rPr>
          <w:sz w:val="24"/>
          <w:szCs w:val="24"/>
        </w:rPr>
        <w:t>Under this domain, identified priorities focused on prevention through wellness screening, prenatal care/visits, and access to family planning services.</w:t>
      </w:r>
      <w:r>
        <w:rPr>
          <w:i/>
          <w:sz w:val="24"/>
          <w:szCs w:val="24"/>
        </w:rPr>
        <w:t xml:space="preserve"> </w:t>
      </w:r>
      <w:r>
        <w:rPr>
          <w:sz w:val="24"/>
          <w:szCs w:val="24"/>
        </w:rPr>
        <w:t>In 2013, 60.1% of women had a preventive medical visit compared to 58.6% in 2009.  By race/ethnicity, Black women were far more likely to report having a preventive medical visit in the past year (83.8%) compared to Asian (61.9%) and White (55.4%) in 2014.  Ongoing efforts to educate women about expanded insurance options under the Affordable Care Act continue through the MCAHP and their partners, as well as enrollment assistance through the Silver State Health Insurance Exchange.</w:t>
      </w:r>
    </w:p>
    <w:p w:rsidR="0074428D" w:rsidRDefault="0074428D" w:rsidP="009A7C59">
      <w:pPr>
        <w:rPr>
          <w:sz w:val="24"/>
          <w:szCs w:val="24"/>
        </w:rPr>
      </w:pPr>
      <w:r>
        <w:rPr>
          <w:sz w:val="24"/>
          <w:szCs w:val="24"/>
        </w:rPr>
        <w:t xml:space="preserve">The percent of pregnant women who received prenatal care beginning in the first trimester has improved slightly in recent years, from 68% in 2012 to 70% in 2014, moving </w:t>
      </w:r>
      <w:smartTag w:uri="urn:schemas-microsoft-com:office:smarttags" w:element="place">
        <w:smartTag w:uri="urn:schemas-microsoft-com:office:smarttags" w:element="State">
          <w:r>
            <w:rPr>
              <w:sz w:val="24"/>
              <w:szCs w:val="24"/>
            </w:rPr>
            <w:t>Nevada</w:t>
          </w:r>
        </w:smartTag>
      </w:smartTag>
      <w:r>
        <w:rPr>
          <w:sz w:val="24"/>
          <w:szCs w:val="24"/>
        </w:rPr>
        <w:t xml:space="preserve"> closer to the Healthy People 2020 objective of 77.8%.  In 2013, uninsured women and those enrolled in Medicaid were the least likely to receive prenatal care beginning in the first trimester, at 55.1% and 55.2%, respectively.  Women with private insurance were the most likely to receive prenatal care in the first trimester, at 82.7%, followed by women with other types of public insurance at 77.2%.  By race/ethnicity, White women were the most likely to receive prenatal care in the first trimester, at 77.2%, followed by Asian at 76.3%, Hispanic 59.8%, and Black 59.6%.</w:t>
      </w:r>
    </w:p>
    <w:p w:rsidR="0074428D" w:rsidRDefault="0074428D" w:rsidP="009A7C59">
      <w:pPr>
        <w:rPr>
          <w:sz w:val="24"/>
          <w:szCs w:val="24"/>
        </w:rPr>
      </w:pPr>
      <w:r>
        <w:rPr>
          <w:sz w:val="24"/>
          <w:szCs w:val="24"/>
        </w:rPr>
        <w:t xml:space="preserve">The Guttmacher Institute reported that 187,410 </w:t>
      </w:r>
      <w:smartTag w:uri="urn:schemas-microsoft-com:office:smarttags" w:element="place">
        <w:smartTag w:uri="urn:schemas-microsoft-com:office:smarttags" w:element="State">
          <w:r>
            <w:rPr>
              <w:sz w:val="24"/>
              <w:szCs w:val="24"/>
            </w:rPr>
            <w:t>Nevada</w:t>
          </w:r>
        </w:smartTag>
      </w:smartTag>
      <w:r>
        <w:rPr>
          <w:sz w:val="24"/>
          <w:szCs w:val="24"/>
        </w:rPr>
        <w:t xml:space="preserve"> women were in need of publicly supported family planning services and supplies in 2013, based on sexually active women aged 13-44 with income below 250% of the federal poverty level.  Large portions of these women are young, women of color, low-income or uninsured, as reflected in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1530"/>
        <w:gridCol w:w="1439"/>
        <w:gridCol w:w="1558"/>
        <w:gridCol w:w="1559"/>
      </w:tblGrid>
      <w:tr w:rsidR="0074428D" w:rsidRPr="007505DD">
        <w:tc>
          <w:tcPr>
            <w:tcW w:w="1705" w:type="dxa"/>
          </w:tcPr>
          <w:p w:rsidR="0074428D" w:rsidRPr="007505DD" w:rsidRDefault="0074428D" w:rsidP="007505DD">
            <w:pPr>
              <w:spacing w:after="0" w:line="240" w:lineRule="auto"/>
              <w:jc w:val="right"/>
              <w:rPr>
                <w:sz w:val="24"/>
                <w:szCs w:val="24"/>
              </w:rPr>
            </w:pPr>
          </w:p>
        </w:tc>
        <w:tc>
          <w:tcPr>
            <w:tcW w:w="1530" w:type="dxa"/>
          </w:tcPr>
          <w:p w:rsidR="0074428D" w:rsidRPr="007505DD" w:rsidRDefault="0074428D" w:rsidP="007505DD">
            <w:pPr>
              <w:spacing w:after="0" w:line="240" w:lineRule="auto"/>
              <w:jc w:val="right"/>
              <w:rPr>
                <w:b/>
                <w:sz w:val="24"/>
                <w:szCs w:val="24"/>
              </w:rPr>
            </w:pPr>
            <w:r w:rsidRPr="007505DD">
              <w:rPr>
                <w:b/>
                <w:sz w:val="24"/>
                <w:szCs w:val="24"/>
              </w:rPr>
              <w:t>Below 20</w:t>
            </w:r>
          </w:p>
        </w:tc>
        <w:tc>
          <w:tcPr>
            <w:tcW w:w="1439" w:type="dxa"/>
            <w:tcBorders>
              <w:right w:val="single" w:sz="4" w:space="0" w:color="auto"/>
            </w:tcBorders>
          </w:tcPr>
          <w:p w:rsidR="0074428D" w:rsidRPr="007505DD" w:rsidRDefault="0074428D" w:rsidP="007505DD">
            <w:pPr>
              <w:spacing w:after="0" w:line="240" w:lineRule="auto"/>
              <w:jc w:val="right"/>
              <w:rPr>
                <w:b/>
                <w:sz w:val="24"/>
                <w:szCs w:val="24"/>
              </w:rPr>
            </w:pPr>
            <w:r w:rsidRPr="007505DD">
              <w:rPr>
                <w:b/>
                <w:sz w:val="24"/>
                <w:szCs w:val="24"/>
              </w:rPr>
              <w:t>20 and Over</w:t>
            </w:r>
          </w:p>
        </w:tc>
        <w:tc>
          <w:tcPr>
            <w:tcW w:w="1558" w:type="dxa"/>
            <w:tcBorders>
              <w:top w:val="nil"/>
              <w:left w:val="single" w:sz="4" w:space="0" w:color="auto"/>
              <w:bottom w:val="nil"/>
              <w:right w:val="nil"/>
            </w:tcBorders>
          </w:tcPr>
          <w:p w:rsidR="0074428D" w:rsidRPr="007505DD" w:rsidRDefault="0074428D" w:rsidP="007505DD">
            <w:pPr>
              <w:spacing w:after="0" w:line="240" w:lineRule="auto"/>
              <w:jc w:val="right"/>
              <w:rPr>
                <w:sz w:val="24"/>
                <w:szCs w:val="24"/>
              </w:rPr>
            </w:pPr>
          </w:p>
        </w:tc>
        <w:tc>
          <w:tcPr>
            <w:tcW w:w="1559" w:type="dxa"/>
            <w:tcBorders>
              <w:top w:val="nil"/>
              <w:left w:val="nil"/>
              <w:bottom w:val="nil"/>
              <w:right w:val="nil"/>
            </w:tcBorders>
          </w:tcPr>
          <w:p w:rsidR="0074428D" w:rsidRPr="007505DD" w:rsidRDefault="0074428D" w:rsidP="007505DD">
            <w:pPr>
              <w:spacing w:after="0" w:line="240" w:lineRule="auto"/>
              <w:jc w:val="right"/>
              <w:rPr>
                <w:sz w:val="24"/>
                <w:szCs w:val="24"/>
              </w:rPr>
            </w:pPr>
          </w:p>
        </w:tc>
      </w:tr>
      <w:tr w:rsidR="0074428D" w:rsidRPr="007505DD">
        <w:tc>
          <w:tcPr>
            <w:tcW w:w="1705" w:type="dxa"/>
          </w:tcPr>
          <w:p w:rsidR="0074428D" w:rsidRPr="007505DD" w:rsidRDefault="0074428D" w:rsidP="007505DD">
            <w:pPr>
              <w:spacing w:after="0" w:line="240" w:lineRule="auto"/>
              <w:jc w:val="right"/>
              <w:rPr>
                <w:b/>
                <w:sz w:val="24"/>
                <w:szCs w:val="24"/>
              </w:rPr>
            </w:pPr>
            <w:smartTag w:uri="urn:schemas-microsoft-com:office:smarttags" w:element="stockticker">
              <w:r w:rsidRPr="007505DD">
                <w:rPr>
                  <w:b/>
                  <w:sz w:val="24"/>
                  <w:szCs w:val="24"/>
                </w:rPr>
                <w:t>AGE</w:t>
              </w:r>
            </w:smartTag>
          </w:p>
        </w:tc>
        <w:tc>
          <w:tcPr>
            <w:tcW w:w="1530" w:type="dxa"/>
          </w:tcPr>
          <w:p w:rsidR="0074428D" w:rsidRPr="007505DD" w:rsidRDefault="0074428D" w:rsidP="007505DD">
            <w:pPr>
              <w:spacing w:after="0" w:line="240" w:lineRule="auto"/>
              <w:jc w:val="right"/>
              <w:rPr>
                <w:sz w:val="24"/>
                <w:szCs w:val="24"/>
              </w:rPr>
            </w:pPr>
            <w:r w:rsidRPr="007505DD">
              <w:rPr>
                <w:sz w:val="24"/>
                <w:szCs w:val="24"/>
              </w:rPr>
              <w:t>36,790</w:t>
            </w:r>
          </w:p>
        </w:tc>
        <w:tc>
          <w:tcPr>
            <w:tcW w:w="1439" w:type="dxa"/>
            <w:tcBorders>
              <w:right w:val="single" w:sz="4" w:space="0" w:color="auto"/>
            </w:tcBorders>
          </w:tcPr>
          <w:p w:rsidR="0074428D" w:rsidRPr="007505DD" w:rsidRDefault="0074428D" w:rsidP="007505DD">
            <w:pPr>
              <w:spacing w:after="0" w:line="240" w:lineRule="auto"/>
              <w:jc w:val="right"/>
              <w:rPr>
                <w:sz w:val="24"/>
                <w:szCs w:val="24"/>
              </w:rPr>
            </w:pPr>
            <w:r w:rsidRPr="007505DD">
              <w:rPr>
                <w:sz w:val="24"/>
                <w:szCs w:val="24"/>
              </w:rPr>
              <w:t>150,620</w:t>
            </w:r>
          </w:p>
        </w:tc>
        <w:tc>
          <w:tcPr>
            <w:tcW w:w="1558" w:type="dxa"/>
            <w:tcBorders>
              <w:top w:val="nil"/>
              <w:left w:val="single" w:sz="4" w:space="0" w:color="auto"/>
              <w:bottom w:val="nil"/>
              <w:right w:val="nil"/>
            </w:tcBorders>
          </w:tcPr>
          <w:p w:rsidR="0074428D" w:rsidRPr="007505DD" w:rsidRDefault="0074428D" w:rsidP="007505DD">
            <w:pPr>
              <w:spacing w:after="0" w:line="240" w:lineRule="auto"/>
              <w:jc w:val="right"/>
              <w:rPr>
                <w:sz w:val="24"/>
                <w:szCs w:val="24"/>
              </w:rPr>
            </w:pPr>
          </w:p>
        </w:tc>
        <w:tc>
          <w:tcPr>
            <w:tcW w:w="1559" w:type="dxa"/>
            <w:tcBorders>
              <w:top w:val="nil"/>
              <w:left w:val="nil"/>
              <w:bottom w:val="nil"/>
              <w:right w:val="nil"/>
            </w:tcBorders>
          </w:tcPr>
          <w:p w:rsidR="0074428D" w:rsidRPr="007505DD" w:rsidRDefault="0074428D" w:rsidP="007505DD">
            <w:pPr>
              <w:spacing w:after="0" w:line="240" w:lineRule="auto"/>
              <w:jc w:val="right"/>
              <w:rPr>
                <w:sz w:val="24"/>
                <w:szCs w:val="24"/>
              </w:rPr>
            </w:pPr>
          </w:p>
        </w:tc>
      </w:tr>
      <w:tr w:rsidR="0074428D" w:rsidRPr="007505DD">
        <w:trPr>
          <w:trHeight w:val="63"/>
        </w:trPr>
        <w:tc>
          <w:tcPr>
            <w:tcW w:w="1705" w:type="dxa"/>
            <w:tcBorders>
              <w:bottom w:val="nil"/>
            </w:tcBorders>
          </w:tcPr>
          <w:p w:rsidR="0074428D" w:rsidRPr="007505DD" w:rsidRDefault="0074428D" w:rsidP="007505DD">
            <w:pPr>
              <w:spacing w:after="0" w:line="240" w:lineRule="auto"/>
              <w:jc w:val="right"/>
              <w:rPr>
                <w:sz w:val="24"/>
                <w:szCs w:val="24"/>
              </w:rPr>
            </w:pPr>
          </w:p>
        </w:tc>
        <w:tc>
          <w:tcPr>
            <w:tcW w:w="1530" w:type="dxa"/>
            <w:tcBorders>
              <w:bottom w:val="nil"/>
            </w:tcBorders>
          </w:tcPr>
          <w:p w:rsidR="0074428D" w:rsidRPr="007505DD" w:rsidRDefault="0074428D" w:rsidP="007505DD">
            <w:pPr>
              <w:spacing w:after="0" w:line="240" w:lineRule="auto"/>
              <w:jc w:val="right"/>
              <w:rPr>
                <w:sz w:val="24"/>
                <w:szCs w:val="24"/>
              </w:rPr>
            </w:pPr>
            <w:r w:rsidRPr="007505DD">
              <w:rPr>
                <w:sz w:val="24"/>
                <w:szCs w:val="24"/>
              </w:rPr>
              <w:t>20%</w:t>
            </w:r>
          </w:p>
        </w:tc>
        <w:tc>
          <w:tcPr>
            <w:tcW w:w="1439" w:type="dxa"/>
            <w:tcBorders>
              <w:bottom w:val="single" w:sz="12" w:space="0" w:color="auto"/>
              <w:right w:val="single" w:sz="4" w:space="0" w:color="auto"/>
            </w:tcBorders>
          </w:tcPr>
          <w:p w:rsidR="0074428D" w:rsidRPr="007505DD" w:rsidRDefault="0074428D" w:rsidP="007505DD">
            <w:pPr>
              <w:spacing w:after="0" w:line="240" w:lineRule="auto"/>
              <w:jc w:val="right"/>
              <w:rPr>
                <w:sz w:val="24"/>
                <w:szCs w:val="24"/>
              </w:rPr>
            </w:pPr>
            <w:r w:rsidRPr="007505DD">
              <w:rPr>
                <w:sz w:val="24"/>
                <w:szCs w:val="24"/>
              </w:rPr>
              <w:t>80%</w:t>
            </w:r>
          </w:p>
        </w:tc>
        <w:tc>
          <w:tcPr>
            <w:tcW w:w="1558" w:type="dxa"/>
            <w:tcBorders>
              <w:top w:val="nil"/>
              <w:left w:val="single" w:sz="4" w:space="0" w:color="auto"/>
              <w:bottom w:val="nil"/>
              <w:right w:val="nil"/>
            </w:tcBorders>
          </w:tcPr>
          <w:p w:rsidR="0074428D" w:rsidRPr="007505DD" w:rsidRDefault="0074428D" w:rsidP="007505DD">
            <w:pPr>
              <w:spacing w:after="0" w:line="240" w:lineRule="auto"/>
              <w:jc w:val="right"/>
              <w:rPr>
                <w:sz w:val="24"/>
                <w:szCs w:val="24"/>
              </w:rPr>
            </w:pPr>
          </w:p>
        </w:tc>
        <w:tc>
          <w:tcPr>
            <w:tcW w:w="1559" w:type="dxa"/>
            <w:tcBorders>
              <w:top w:val="nil"/>
              <w:left w:val="nil"/>
              <w:bottom w:val="nil"/>
              <w:right w:val="nil"/>
            </w:tcBorders>
          </w:tcPr>
          <w:p w:rsidR="0074428D" w:rsidRPr="007505DD" w:rsidRDefault="0074428D" w:rsidP="007505DD">
            <w:pPr>
              <w:spacing w:after="0" w:line="240" w:lineRule="auto"/>
              <w:jc w:val="right"/>
              <w:rPr>
                <w:sz w:val="24"/>
                <w:szCs w:val="24"/>
              </w:rPr>
            </w:pPr>
          </w:p>
        </w:tc>
      </w:tr>
      <w:tr w:rsidR="0074428D" w:rsidRPr="007505DD">
        <w:tc>
          <w:tcPr>
            <w:tcW w:w="1705" w:type="dxa"/>
            <w:tcBorders>
              <w:top w:val="single" w:sz="12" w:space="0" w:color="auto"/>
            </w:tcBorders>
          </w:tcPr>
          <w:p w:rsidR="0074428D" w:rsidRPr="007505DD" w:rsidRDefault="0074428D" w:rsidP="007505DD">
            <w:pPr>
              <w:spacing w:after="0" w:line="240" w:lineRule="auto"/>
              <w:jc w:val="right"/>
              <w:rPr>
                <w:sz w:val="24"/>
                <w:szCs w:val="24"/>
              </w:rPr>
            </w:pPr>
          </w:p>
        </w:tc>
        <w:tc>
          <w:tcPr>
            <w:tcW w:w="1530" w:type="dxa"/>
            <w:tcBorders>
              <w:top w:val="single" w:sz="12" w:space="0" w:color="auto"/>
            </w:tcBorders>
          </w:tcPr>
          <w:p w:rsidR="0074428D" w:rsidRPr="007505DD" w:rsidRDefault="0074428D" w:rsidP="007505DD">
            <w:pPr>
              <w:spacing w:after="0" w:line="240" w:lineRule="auto"/>
              <w:jc w:val="right"/>
              <w:rPr>
                <w:b/>
                <w:sz w:val="24"/>
                <w:szCs w:val="24"/>
              </w:rPr>
            </w:pPr>
            <w:r w:rsidRPr="007505DD">
              <w:rPr>
                <w:b/>
                <w:sz w:val="24"/>
                <w:szCs w:val="24"/>
              </w:rPr>
              <w:t>White</w:t>
            </w:r>
          </w:p>
        </w:tc>
        <w:tc>
          <w:tcPr>
            <w:tcW w:w="1439" w:type="dxa"/>
            <w:tcBorders>
              <w:top w:val="single" w:sz="12" w:space="0" w:color="auto"/>
            </w:tcBorders>
          </w:tcPr>
          <w:p w:rsidR="0074428D" w:rsidRPr="007505DD" w:rsidRDefault="0074428D" w:rsidP="007505DD">
            <w:pPr>
              <w:spacing w:after="0" w:line="240" w:lineRule="auto"/>
              <w:jc w:val="right"/>
              <w:rPr>
                <w:b/>
                <w:sz w:val="24"/>
                <w:szCs w:val="24"/>
              </w:rPr>
            </w:pPr>
            <w:r w:rsidRPr="007505DD">
              <w:rPr>
                <w:b/>
                <w:sz w:val="24"/>
                <w:szCs w:val="24"/>
              </w:rPr>
              <w:t>Hispanic</w:t>
            </w:r>
          </w:p>
        </w:tc>
        <w:tc>
          <w:tcPr>
            <w:tcW w:w="1558" w:type="dxa"/>
            <w:tcBorders>
              <w:top w:val="single" w:sz="12" w:space="0" w:color="auto"/>
            </w:tcBorders>
          </w:tcPr>
          <w:p w:rsidR="0074428D" w:rsidRPr="007505DD" w:rsidRDefault="0074428D" w:rsidP="007505DD">
            <w:pPr>
              <w:spacing w:after="0" w:line="240" w:lineRule="auto"/>
              <w:jc w:val="right"/>
              <w:rPr>
                <w:b/>
                <w:sz w:val="24"/>
                <w:szCs w:val="24"/>
              </w:rPr>
            </w:pPr>
            <w:r w:rsidRPr="007505DD">
              <w:rPr>
                <w:b/>
                <w:sz w:val="24"/>
                <w:szCs w:val="24"/>
              </w:rPr>
              <w:t>Black</w:t>
            </w:r>
          </w:p>
        </w:tc>
        <w:tc>
          <w:tcPr>
            <w:tcW w:w="1559" w:type="dxa"/>
            <w:tcBorders>
              <w:top w:val="single" w:sz="12" w:space="0" w:color="auto"/>
            </w:tcBorders>
          </w:tcPr>
          <w:p w:rsidR="0074428D" w:rsidRPr="007505DD" w:rsidRDefault="0074428D" w:rsidP="007505DD">
            <w:pPr>
              <w:spacing w:after="0" w:line="240" w:lineRule="auto"/>
              <w:jc w:val="right"/>
              <w:rPr>
                <w:b/>
                <w:sz w:val="24"/>
                <w:szCs w:val="24"/>
              </w:rPr>
            </w:pPr>
            <w:r w:rsidRPr="007505DD">
              <w:rPr>
                <w:b/>
                <w:sz w:val="24"/>
                <w:szCs w:val="24"/>
              </w:rPr>
              <w:t>Other</w:t>
            </w:r>
          </w:p>
        </w:tc>
      </w:tr>
      <w:tr w:rsidR="0074428D" w:rsidRPr="007505DD">
        <w:tc>
          <w:tcPr>
            <w:tcW w:w="1705" w:type="dxa"/>
          </w:tcPr>
          <w:p w:rsidR="0074428D" w:rsidRPr="007505DD" w:rsidRDefault="0074428D" w:rsidP="007505DD">
            <w:pPr>
              <w:spacing w:after="0" w:line="240" w:lineRule="auto"/>
              <w:jc w:val="right"/>
              <w:rPr>
                <w:b/>
                <w:sz w:val="24"/>
                <w:szCs w:val="24"/>
              </w:rPr>
            </w:pPr>
            <w:smartTag w:uri="urn:schemas-microsoft-com:office:smarttags" w:element="stockticker">
              <w:r w:rsidRPr="007505DD">
                <w:rPr>
                  <w:b/>
                  <w:sz w:val="24"/>
                  <w:szCs w:val="24"/>
                </w:rPr>
                <w:t>RACE</w:t>
              </w:r>
            </w:smartTag>
          </w:p>
        </w:tc>
        <w:tc>
          <w:tcPr>
            <w:tcW w:w="1530" w:type="dxa"/>
          </w:tcPr>
          <w:p w:rsidR="0074428D" w:rsidRPr="007505DD" w:rsidRDefault="0074428D" w:rsidP="007505DD">
            <w:pPr>
              <w:spacing w:after="0" w:line="240" w:lineRule="auto"/>
              <w:jc w:val="right"/>
              <w:rPr>
                <w:sz w:val="24"/>
                <w:szCs w:val="24"/>
              </w:rPr>
            </w:pPr>
            <w:r w:rsidRPr="007505DD">
              <w:rPr>
                <w:sz w:val="24"/>
                <w:szCs w:val="24"/>
              </w:rPr>
              <w:t>65,500</w:t>
            </w:r>
          </w:p>
        </w:tc>
        <w:tc>
          <w:tcPr>
            <w:tcW w:w="1439" w:type="dxa"/>
          </w:tcPr>
          <w:p w:rsidR="0074428D" w:rsidRPr="007505DD" w:rsidRDefault="0074428D" w:rsidP="007505DD">
            <w:pPr>
              <w:spacing w:after="0" w:line="240" w:lineRule="auto"/>
              <w:jc w:val="right"/>
              <w:rPr>
                <w:sz w:val="24"/>
                <w:szCs w:val="24"/>
              </w:rPr>
            </w:pPr>
            <w:r w:rsidRPr="007505DD">
              <w:rPr>
                <w:sz w:val="24"/>
                <w:szCs w:val="24"/>
              </w:rPr>
              <w:t>75,000</w:t>
            </w:r>
          </w:p>
        </w:tc>
        <w:tc>
          <w:tcPr>
            <w:tcW w:w="1558" w:type="dxa"/>
          </w:tcPr>
          <w:p w:rsidR="0074428D" w:rsidRPr="007505DD" w:rsidRDefault="0074428D" w:rsidP="007505DD">
            <w:pPr>
              <w:spacing w:after="0" w:line="240" w:lineRule="auto"/>
              <w:jc w:val="right"/>
              <w:rPr>
                <w:sz w:val="24"/>
                <w:szCs w:val="24"/>
              </w:rPr>
            </w:pPr>
            <w:r w:rsidRPr="007505DD">
              <w:rPr>
                <w:sz w:val="24"/>
                <w:szCs w:val="24"/>
              </w:rPr>
              <w:t>22,470</w:t>
            </w:r>
          </w:p>
        </w:tc>
        <w:tc>
          <w:tcPr>
            <w:tcW w:w="1559" w:type="dxa"/>
          </w:tcPr>
          <w:p w:rsidR="0074428D" w:rsidRPr="007505DD" w:rsidRDefault="0074428D" w:rsidP="007505DD">
            <w:pPr>
              <w:spacing w:after="0" w:line="240" w:lineRule="auto"/>
              <w:jc w:val="right"/>
              <w:rPr>
                <w:sz w:val="24"/>
                <w:szCs w:val="24"/>
              </w:rPr>
            </w:pPr>
            <w:r w:rsidRPr="007505DD">
              <w:rPr>
                <w:sz w:val="24"/>
                <w:szCs w:val="24"/>
              </w:rPr>
              <w:t>24,440</w:t>
            </w:r>
          </w:p>
        </w:tc>
      </w:tr>
      <w:tr w:rsidR="0074428D" w:rsidRPr="007505DD">
        <w:trPr>
          <w:trHeight w:val="63"/>
        </w:trPr>
        <w:tc>
          <w:tcPr>
            <w:tcW w:w="1705" w:type="dxa"/>
            <w:tcBorders>
              <w:bottom w:val="single" w:sz="18" w:space="0" w:color="auto"/>
            </w:tcBorders>
          </w:tcPr>
          <w:p w:rsidR="0074428D" w:rsidRPr="007505DD" w:rsidRDefault="0074428D" w:rsidP="007505DD">
            <w:pPr>
              <w:spacing w:after="0" w:line="240" w:lineRule="auto"/>
              <w:jc w:val="right"/>
              <w:rPr>
                <w:sz w:val="24"/>
                <w:szCs w:val="24"/>
              </w:rPr>
            </w:pPr>
          </w:p>
        </w:tc>
        <w:tc>
          <w:tcPr>
            <w:tcW w:w="1530" w:type="dxa"/>
            <w:tcBorders>
              <w:bottom w:val="single" w:sz="18" w:space="0" w:color="auto"/>
            </w:tcBorders>
          </w:tcPr>
          <w:p w:rsidR="0074428D" w:rsidRPr="007505DD" w:rsidRDefault="0074428D" w:rsidP="007505DD">
            <w:pPr>
              <w:spacing w:after="0" w:line="240" w:lineRule="auto"/>
              <w:jc w:val="right"/>
              <w:rPr>
                <w:sz w:val="24"/>
                <w:szCs w:val="24"/>
              </w:rPr>
            </w:pPr>
            <w:r w:rsidRPr="007505DD">
              <w:rPr>
                <w:sz w:val="24"/>
                <w:szCs w:val="24"/>
              </w:rPr>
              <w:t>35%</w:t>
            </w:r>
          </w:p>
        </w:tc>
        <w:tc>
          <w:tcPr>
            <w:tcW w:w="1439" w:type="dxa"/>
            <w:tcBorders>
              <w:bottom w:val="single" w:sz="18" w:space="0" w:color="auto"/>
            </w:tcBorders>
          </w:tcPr>
          <w:p w:rsidR="0074428D" w:rsidRPr="007505DD" w:rsidRDefault="0074428D" w:rsidP="007505DD">
            <w:pPr>
              <w:spacing w:after="0" w:line="240" w:lineRule="auto"/>
              <w:jc w:val="right"/>
              <w:rPr>
                <w:sz w:val="24"/>
                <w:szCs w:val="24"/>
              </w:rPr>
            </w:pPr>
            <w:r w:rsidRPr="007505DD">
              <w:rPr>
                <w:sz w:val="24"/>
                <w:szCs w:val="24"/>
              </w:rPr>
              <w:t>40%</w:t>
            </w:r>
          </w:p>
        </w:tc>
        <w:tc>
          <w:tcPr>
            <w:tcW w:w="1558" w:type="dxa"/>
            <w:tcBorders>
              <w:bottom w:val="single" w:sz="18" w:space="0" w:color="auto"/>
            </w:tcBorders>
          </w:tcPr>
          <w:p w:rsidR="0074428D" w:rsidRPr="007505DD" w:rsidRDefault="0074428D" w:rsidP="007505DD">
            <w:pPr>
              <w:spacing w:after="0" w:line="240" w:lineRule="auto"/>
              <w:jc w:val="right"/>
              <w:rPr>
                <w:sz w:val="24"/>
                <w:szCs w:val="24"/>
              </w:rPr>
            </w:pPr>
            <w:r w:rsidRPr="007505DD">
              <w:rPr>
                <w:sz w:val="24"/>
                <w:szCs w:val="24"/>
              </w:rPr>
              <w:t>12%</w:t>
            </w:r>
          </w:p>
        </w:tc>
        <w:tc>
          <w:tcPr>
            <w:tcW w:w="1559" w:type="dxa"/>
            <w:tcBorders>
              <w:bottom w:val="single" w:sz="18" w:space="0" w:color="auto"/>
            </w:tcBorders>
          </w:tcPr>
          <w:p w:rsidR="0074428D" w:rsidRPr="007505DD" w:rsidRDefault="0074428D" w:rsidP="007505DD">
            <w:pPr>
              <w:spacing w:after="0" w:line="240" w:lineRule="auto"/>
              <w:jc w:val="right"/>
              <w:rPr>
                <w:sz w:val="24"/>
                <w:szCs w:val="24"/>
              </w:rPr>
            </w:pPr>
            <w:r w:rsidRPr="007505DD">
              <w:rPr>
                <w:sz w:val="24"/>
                <w:szCs w:val="24"/>
              </w:rPr>
              <w:t>13%</w:t>
            </w:r>
          </w:p>
        </w:tc>
      </w:tr>
      <w:tr w:rsidR="0074428D" w:rsidRPr="007505DD">
        <w:tc>
          <w:tcPr>
            <w:tcW w:w="1705" w:type="dxa"/>
            <w:tcBorders>
              <w:top w:val="single" w:sz="18" w:space="0" w:color="auto"/>
            </w:tcBorders>
          </w:tcPr>
          <w:p w:rsidR="0074428D" w:rsidRPr="007505DD" w:rsidRDefault="0074428D" w:rsidP="007505DD">
            <w:pPr>
              <w:spacing w:after="0" w:line="240" w:lineRule="auto"/>
              <w:jc w:val="right"/>
              <w:rPr>
                <w:sz w:val="24"/>
                <w:szCs w:val="24"/>
              </w:rPr>
            </w:pPr>
          </w:p>
        </w:tc>
        <w:tc>
          <w:tcPr>
            <w:tcW w:w="1530" w:type="dxa"/>
            <w:tcBorders>
              <w:top w:val="single" w:sz="18" w:space="0" w:color="auto"/>
            </w:tcBorders>
          </w:tcPr>
          <w:p w:rsidR="0074428D" w:rsidRPr="007505DD" w:rsidRDefault="0074428D" w:rsidP="007505DD">
            <w:pPr>
              <w:spacing w:after="0" w:line="240" w:lineRule="auto"/>
              <w:jc w:val="right"/>
              <w:rPr>
                <w:b/>
                <w:sz w:val="24"/>
                <w:szCs w:val="24"/>
              </w:rPr>
            </w:pPr>
            <w:r w:rsidRPr="007505DD">
              <w:rPr>
                <w:b/>
                <w:sz w:val="24"/>
                <w:szCs w:val="24"/>
              </w:rPr>
              <w:t>Below 100%</w:t>
            </w:r>
          </w:p>
        </w:tc>
        <w:tc>
          <w:tcPr>
            <w:tcW w:w="1439" w:type="dxa"/>
            <w:tcBorders>
              <w:top w:val="single" w:sz="18" w:space="0" w:color="auto"/>
            </w:tcBorders>
          </w:tcPr>
          <w:p w:rsidR="0074428D" w:rsidRPr="007505DD" w:rsidRDefault="0074428D" w:rsidP="007505DD">
            <w:pPr>
              <w:spacing w:after="0" w:line="240" w:lineRule="auto"/>
              <w:jc w:val="right"/>
              <w:rPr>
                <w:b/>
                <w:sz w:val="24"/>
                <w:szCs w:val="24"/>
              </w:rPr>
            </w:pPr>
            <w:r w:rsidRPr="007505DD">
              <w:rPr>
                <w:b/>
                <w:sz w:val="24"/>
                <w:szCs w:val="24"/>
              </w:rPr>
              <w:t>100-137%</w:t>
            </w:r>
          </w:p>
        </w:tc>
        <w:tc>
          <w:tcPr>
            <w:tcW w:w="1558" w:type="dxa"/>
            <w:tcBorders>
              <w:top w:val="single" w:sz="18" w:space="0" w:color="auto"/>
            </w:tcBorders>
          </w:tcPr>
          <w:p w:rsidR="0074428D" w:rsidRPr="007505DD" w:rsidRDefault="0074428D" w:rsidP="007505DD">
            <w:pPr>
              <w:spacing w:after="0" w:line="240" w:lineRule="auto"/>
              <w:jc w:val="right"/>
              <w:rPr>
                <w:b/>
                <w:sz w:val="24"/>
                <w:szCs w:val="24"/>
              </w:rPr>
            </w:pPr>
            <w:r w:rsidRPr="007505DD">
              <w:rPr>
                <w:b/>
                <w:sz w:val="24"/>
                <w:szCs w:val="24"/>
              </w:rPr>
              <w:t>138-199%</w:t>
            </w:r>
          </w:p>
        </w:tc>
        <w:tc>
          <w:tcPr>
            <w:tcW w:w="1559" w:type="dxa"/>
            <w:tcBorders>
              <w:top w:val="single" w:sz="18" w:space="0" w:color="auto"/>
            </w:tcBorders>
          </w:tcPr>
          <w:p w:rsidR="0074428D" w:rsidRPr="007505DD" w:rsidRDefault="0074428D" w:rsidP="007505DD">
            <w:pPr>
              <w:spacing w:after="0" w:line="240" w:lineRule="auto"/>
              <w:jc w:val="right"/>
              <w:rPr>
                <w:b/>
                <w:sz w:val="24"/>
                <w:szCs w:val="24"/>
              </w:rPr>
            </w:pPr>
            <w:r w:rsidRPr="007505DD">
              <w:rPr>
                <w:b/>
                <w:sz w:val="24"/>
                <w:szCs w:val="24"/>
              </w:rPr>
              <w:t>200-249%</w:t>
            </w:r>
          </w:p>
        </w:tc>
      </w:tr>
      <w:tr w:rsidR="0074428D" w:rsidRPr="007505DD">
        <w:tc>
          <w:tcPr>
            <w:tcW w:w="1705" w:type="dxa"/>
          </w:tcPr>
          <w:p w:rsidR="0074428D" w:rsidRPr="007505DD" w:rsidRDefault="0074428D" w:rsidP="007505DD">
            <w:pPr>
              <w:spacing w:after="0" w:line="240" w:lineRule="auto"/>
              <w:jc w:val="right"/>
              <w:rPr>
                <w:b/>
                <w:sz w:val="24"/>
                <w:szCs w:val="24"/>
              </w:rPr>
            </w:pPr>
            <w:r w:rsidRPr="007505DD">
              <w:rPr>
                <w:b/>
                <w:sz w:val="24"/>
                <w:szCs w:val="24"/>
              </w:rPr>
              <w:t>INCOME (</w:t>
            </w:r>
            <w:smartTag w:uri="urn:schemas-microsoft-com:office:smarttags" w:element="stockticker">
              <w:r w:rsidRPr="007505DD">
                <w:rPr>
                  <w:b/>
                  <w:sz w:val="24"/>
                  <w:szCs w:val="24"/>
                </w:rPr>
                <w:t>FPL</w:t>
              </w:r>
            </w:smartTag>
            <w:r w:rsidRPr="007505DD">
              <w:rPr>
                <w:b/>
                <w:sz w:val="24"/>
                <w:szCs w:val="24"/>
              </w:rPr>
              <w:t>)</w:t>
            </w:r>
          </w:p>
        </w:tc>
        <w:tc>
          <w:tcPr>
            <w:tcW w:w="1530" w:type="dxa"/>
          </w:tcPr>
          <w:p w:rsidR="0074428D" w:rsidRPr="007505DD" w:rsidRDefault="0074428D" w:rsidP="007505DD">
            <w:pPr>
              <w:spacing w:after="0" w:line="240" w:lineRule="auto"/>
              <w:jc w:val="right"/>
              <w:rPr>
                <w:sz w:val="24"/>
                <w:szCs w:val="24"/>
              </w:rPr>
            </w:pPr>
            <w:r w:rsidRPr="007505DD">
              <w:rPr>
                <w:sz w:val="24"/>
                <w:szCs w:val="24"/>
              </w:rPr>
              <w:t>55,770</w:t>
            </w:r>
          </w:p>
        </w:tc>
        <w:tc>
          <w:tcPr>
            <w:tcW w:w="1439" w:type="dxa"/>
          </w:tcPr>
          <w:p w:rsidR="0074428D" w:rsidRPr="007505DD" w:rsidRDefault="0074428D" w:rsidP="007505DD">
            <w:pPr>
              <w:spacing w:after="0" w:line="240" w:lineRule="auto"/>
              <w:jc w:val="right"/>
              <w:rPr>
                <w:sz w:val="24"/>
                <w:szCs w:val="24"/>
              </w:rPr>
            </w:pPr>
            <w:r w:rsidRPr="007505DD">
              <w:rPr>
                <w:sz w:val="24"/>
                <w:szCs w:val="24"/>
              </w:rPr>
              <w:t>23,950</w:t>
            </w:r>
          </w:p>
        </w:tc>
        <w:tc>
          <w:tcPr>
            <w:tcW w:w="1558" w:type="dxa"/>
          </w:tcPr>
          <w:p w:rsidR="0074428D" w:rsidRPr="007505DD" w:rsidRDefault="0074428D" w:rsidP="007505DD">
            <w:pPr>
              <w:spacing w:after="0" w:line="240" w:lineRule="auto"/>
              <w:jc w:val="right"/>
              <w:rPr>
                <w:sz w:val="24"/>
                <w:szCs w:val="24"/>
              </w:rPr>
            </w:pPr>
            <w:r w:rsidRPr="007505DD">
              <w:rPr>
                <w:sz w:val="24"/>
                <w:szCs w:val="24"/>
              </w:rPr>
              <w:t>43,070</w:t>
            </w:r>
          </w:p>
        </w:tc>
        <w:tc>
          <w:tcPr>
            <w:tcW w:w="1559" w:type="dxa"/>
          </w:tcPr>
          <w:p w:rsidR="0074428D" w:rsidRPr="007505DD" w:rsidRDefault="0074428D" w:rsidP="007505DD">
            <w:pPr>
              <w:spacing w:after="0" w:line="240" w:lineRule="auto"/>
              <w:jc w:val="right"/>
              <w:rPr>
                <w:sz w:val="24"/>
                <w:szCs w:val="24"/>
              </w:rPr>
            </w:pPr>
            <w:r w:rsidRPr="007505DD">
              <w:rPr>
                <w:sz w:val="24"/>
                <w:szCs w:val="24"/>
              </w:rPr>
              <w:t>27,830</w:t>
            </w:r>
          </w:p>
        </w:tc>
      </w:tr>
      <w:tr w:rsidR="0074428D" w:rsidRPr="007505DD">
        <w:tc>
          <w:tcPr>
            <w:tcW w:w="1705" w:type="dxa"/>
            <w:tcBorders>
              <w:bottom w:val="single" w:sz="18" w:space="0" w:color="auto"/>
            </w:tcBorders>
          </w:tcPr>
          <w:p w:rsidR="0074428D" w:rsidRPr="007505DD" w:rsidRDefault="0074428D" w:rsidP="007505DD">
            <w:pPr>
              <w:spacing w:after="0" w:line="240" w:lineRule="auto"/>
              <w:jc w:val="right"/>
              <w:rPr>
                <w:sz w:val="24"/>
                <w:szCs w:val="24"/>
              </w:rPr>
            </w:pPr>
          </w:p>
        </w:tc>
        <w:tc>
          <w:tcPr>
            <w:tcW w:w="1530" w:type="dxa"/>
            <w:tcBorders>
              <w:bottom w:val="single" w:sz="18" w:space="0" w:color="auto"/>
            </w:tcBorders>
          </w:tcPr>
          <w:p w:rsidR="0074428D" w:rsidRPr="007505DD" w:rsidRDefault="0074428D" w:rsidP="007505DD">
            <w:pPr>
              <w:spacing w:after="0" w:line="240" w:lineRule="auto"/>
              <w:jc w:val="right"/>
              <w:rPr>
                <w:sz w:val="24"/>
                <w:szCs w:val="24"/>
              </w:rPr>
            </w:pPr>
            <w:r w:rsidRPr="007505DD">
              <w:rPr>
                <w:sz w:val="24"/>
                <w:szCs w:val="24"/>
              </w:rPr>
              <w:t>37%</w:t>
            </w:r>
          </w:p>
        </w:tc>
        <w:tc>
          <w:tcPr>
            <w:tcW w:w="1439" w:type="dxa"/>
            <w:tcBorders>
              <w:bottom w:val="single" w:sz="18" w:space="0" w:color="auto"/>
            </w:tcBorders>
          </w:tcPr>
          <w:p w:rsidR="0074428D" w:rsidRPr="007505DD" w:rsidRDefault="0074428D" w:rsidP="007505DD">
            <w:pPr>
              <w:spacing w:after="0" w:line="240" w:lineRule="auto"/>
              <w:jc w:val="right"/>
              <w:rPr>
                <w:sz w:val="24"/>
                <w:szCs w:val="24"/>
              </w:rPr>
            </w:pPr>
            <w:r w:rsidRPr="007505DD">
              <w:rPr>
                <w:sz w:val="24"/>
                <w:szCs w:val="24"/>
              </w:rPr>
              <w:t>16%</w:t>
            </w:r>
          </w:p>
        </w:tc>
        <w:tc>
          <w:tcPr>
            <w:tcW w:w="1558" w:type="dxa"/>
            <w:tcBorders>
              <w:bottom w:val="single" w:sz="18" w:space="0" w:color="auto"/>
            </w:tcBorders>
          </w:tcPr>
          <w:p w:rsidR="0074428D" w:rsidRPr="007505DD" w:rsidRDefault="0074428D" w:rsidP="007505DD">
            <w:pPr>
              <w:spacing w:after="0" w:line="240" w:lineRule="auto"/>
              <w:jc w:val="right"/>
              <w:rPr>
                <w:sz w:val="24"/>
                <w:szCs w:val="24"/>
              </w:rPr>
            </w:pPr>
            <w:r w:rsidRPr="007505DD">
              <w:rPr>
                <w:sz w:val="24"/>
                <w:szCs w:val="24"/>
              </w:rPr>
              <w:t>29%</w:t>
            </w:r>
          </w:p>
        </w:tc>
        <w:tc>
          <w:tcPr>
            <w:tcW w:w="1559" w:type="dxa"/>
            <w:tcBorders>
              <w:bottom w:val="single" w:sz="18" w:space="0" w:color="auto"/>
            </w:tcBorders>
          </w:tcPr>
          <w:p w:rsidR="0074428D" w:rsidRPr="007505DD" w:rsidRDefault="0074428D" w:rsidP="007505DD">
            <w:pPr>
              <w:spacing w:after="0" w:line="240" w:lineRule="auto"/>
              <w:jc w:val="right"/>
              <w:rPr>
                <w:sz w:val="24"/>
                <w:szCs w:val="24"/>
              </w:rPr>
            </w:pPr>
            <w:r w:rsidRPr="007505DD">
              <w:rPr>
                <w:sz w:val="24"/>
                <w:szCs w:val="24"/>
              </w:rPr>
              <w:t>18%</w:t>
            </w:r>
          </w:p>
        </w:tc>
      </w:tr>
      <w:tr w:rsidR="0074428D" w:rsidRPr="007505DD">
        <w:tc>
          <w:tcPr>
            <w:tcW w:w="1705" w:type="dxa"/>
          </w:tcPr>
          <w:p w:rsidR="0074428D" w:rsidRPr="007505DD" w:rsidRDefault="0074428D" w:rsidP="007505DD">
            <w:pPr>
              <w:spacing w:after="0" w:line="240" w:lineRule="auto"/>
              <w:jc w:val="right"/>
              <w:rPr>
                <w:sz w:val="24"/>
                <w:szCs w:val="24"/>
              </w:rPr>
            </w:pPr>
          </w:p>
        </w:tc>
        <w:tc>
          <w:tcPr>
            <w:tcW w:w="1530" w:type="dxa"/>
          </w:tcPr>
          <w:p w:rsidR="0074428D" w:rsidRPr="007505DD" w:rsidRDefault="0074428D" w:rsidP="007505DD">
            <w:pPr>
              <w:spacing w:after="0" w:line="240" w:lineRule="auto"/>
              <w:jc w:val="right"/>
              <w:rPr>
                <w:b/>
                <w:sz w:val="24"/>
                <w:szCs w:val="24"/>
              </w:rPr>
            </w:pPr>
            <w:r w:rsidRPr="007505DD">
              <w:rPr>
                <w:b/>
                <w:sz w:val="24"/>
                <w:szCs w:val="24"/>
              </w:rPr>
              <w:t>Uninsured</w:t>
            </w:r>
          </w:p>
        </w:tc>
        <w:tc>
          <w:tcPr>
            <w:tcW w:w="1439" w:type="dxa"/>
            <w:tcBorders>
              <w:top w:val="single" w:sz="18" w:space="0" w:color="auto"/>
              <w:right w:val="single" w:sz="4" w:space="0" w:color="auto"/>
            </w:tcBorders>
          </w:tcPr>
          <w:p w:rsidR="0074428D" w:rsidRPr="007505DD" w:rsidRDefault="0074428D" w:rsidP="007505DD">
            <w:pPr>
              <w:spacing w:after="0" w:line="240" w:lineRule="auto"/>
              <w:jc w:val="right"/>
              <w:rPr>
                <w:b/>
                <w:sz w:val="24"/>
                <w:szCs w:val="24"/>
              </w:rPr>
            </w:pPr>
            <w:r w:rsidRPr="007505DD">
              <w:rPr>
                <w:b/>
                <w:sz w:val="24"/>
                <w:szCs w:val="24"/>
              </w:rPr>
              <w:t>Insured</w:t>
            </w:r>
          </w:p>
        </w:tc>
        <w:tc>
          <w:tcPr>
            <w:tcW w:w="1558" w:type="dxa"/>
            <w:tcBorders>
              <w:top w:val="single" w:sz="18" w:space="0" w:color="auto"/>
              <w:left w:val="single" w:sz="4" w:space="0" w:color="auto"/>
              <w:bottom w:val="nil"/>
              <w:right w:val="nil"/>
            </w:tcBorders>
          </w:tcPr>
          <w:p w:rsidR="0074428D" w:rsidRPr="007505DD" w:rsidRDefault="0074428D" w:rsidP="007505DD">
            <w:pPr>
              <w:spacing w:after="0" w:line="240" w:lineRule="auto"/>
              <w:jc w:val="right"/>
              <w:rPr>
                <w:sz w:val="24"/>
                <w:szCs w:val="24"/>
              </w:rPr>
            </w:pPr>
          </w:p>
        </w:tc>
        <w:tc>
          <w:tcPr>
            <w:tcW w:w="1559" w:type="dxa"/>
            <w:tcBorders>
              <w:top w:val="single" w:sz="18" w:space="0" w:color="auto"/>
              <w:left w:val="nil"/>
              <w:bottom w:val="nil"/>
              <w:right w:val="nil"/>
            </w:tcBorders>
          </w:tcPr>
          <w:p w:rsidR="0074428D" w:rsidRPr="007505DD" w:rsidRDefault="0074428D" w:rsidP="007505DD">
            <w:pPr>
              <w:spacing w:after="0" w:line="240" w:lineRule="auto"/>
              <w:jc w:val="right"/>
              <w:rPr>
                <w:sz w:val="24"/>
                <w:szCs w:val="24"/>
              </w:rPr>
            </w:pPr>
          </w:p>
        </w:tc>
      </w:tr>
      <w:tr w:rsidR="0074428D" w:rsidRPr="007505DD">
        <w:tc>
          <w:tcPr>
            <w:tcW w:w="1705" w:type="dxa"/>
          </w:tcPr>
          <w:p w:rsidR="0074428D" w:rsidRPr="007505DD" w:rsidRDefault="0074428D" w:rsidP="007505DD">
            <w:pPr>
              <w:spacing w:after="0" w:line="240" w:lineRule="auto"/>
              <w:jc w:val="right"/>
              <w:rPr>
                <w:b/>
                <w:sz w:val="24"/>
                <w:szCs w:val="24"/>
              </w:rPr>
            </w:pPr>
            <w:r w:rsidRPr="007505DD">
              <w:rPr>
                <w:b/>
                <w:sz w:val="24"/>
                <w:szCs w:val="24"/>
              </w:rPr>
              <w:t>COVERAGE</w:t>
            </w:r>
          </w:p>
        </w:tc>
        <w:tc>
          <w:tcPr>
            <w:tcW w:w="1530" w:type="dxa"/>
          </w:tcPr>
          <w:p w:rsidR="0074428D" w:rsidRPr="007505DD" w:rsidRDefault="0074428D" w:rsidP="007505DD">
            <w:pPr>
              <w:spacing w:after="0" w:line="240" w:lineRule="auto"/>
              <w:jc w:val="right"/>
              <w:rPr>
                <w:sz w:val="24"/>
                <w:szCs w:val="24"/>
              </w:rPr>
            </w:pPr>
            <w:r w:rsidRPr="007505DD">
              <w:rPr>
                <w:sz w:val="24"/>
                <w:szCs w:val="24"/>
              </w:rPr>
              <w:t>70,880</w:t>
            </w:r>
          </w:p>
        </w:tc>
        <w:tc>
          <w:tcPr>
            <w:tcW w:w="1439" w:type="dxa"/>
            <w:tcBorders>
              <w:right w:val="single" w:sz="4" w:space="0" w:color="auto"/>
            </w:tcBorders>
          </w:tcPr>
          <w:p w:rsidR="0074428D" w:rsidRPr="007505DD" w:rsidRDefault="0074428D" w:rsidP="007505DD">
            <w:pPr>
              <w:spacing w:after="0" w:line="240" w:lineRule="auto"/>
              <w:jc w:val="right"/>
              <w:rPr>
                <w:sz w:val="24"/>
                <w:szCs w:val="24"/>
              </w:rPr>
            </w:pPr>
            <w:r w:rsidRPr="007505DD">
              <w:rPr>
                <w:sz w:val="24"/>
                <w:szCs w:val="24"/>
              </w:rPr>
              <w:t>116,530</w:t>
            </w:r>
          </w:p>
        </w:tc>
        <w:tc>
          <w:tcPr>
            <w:tcW w:w="1558" w:type="dxa"/>
            <w:tcBorders>
              <w:top w:val="nil"/>
              <w:left w:val="single" w:sz="4" w:space="0" w:color="auto"/>
              <w:bottom w:val="nil"/>
              <w:right w:val="nil"/>
            </w:tcBorders>
          </w:tcPr>
          <w:p w:rsidR="0074428D" w:rsidRPr="007505DD" w:rsidRDefault="0074428D" w:rsidP="007505DD">
            <w:pPr>
              <w:spacing w:after="0" w:line="240" w:lineRule="auto"/>
              <w:jc w:val="right"/>
              <w:rPr>
                <w:sz w:val="24"/>
                <w:szCs w:val="24"/>
              </w:rPr>
            </w:pPr>
          </w:p>
        </w:tc>
        <w:tc>
          <w:tcPr>
            <w:tcW w:w="1559" w:type="dxa"/>
            <w:tcBorders>
              <w:top w:val="nil"/>
              <w:left w:val="nil"/>
              <w:bottom w:val="nil"/>
              <w:right w:val="nil"/>
            </w:tcBorders>
          </w:tcPr>
          <w:p w:rsidR="0074428D" w:rsidRPr="007505DD" w:rsidRDefault="0074428D" w:rsidP="007505DD">
            <w:pPr>
              <w:spacing w:after="0" w:line="240" w:lineRule="auto"/>
              <w:jc w:val="right"/>
              <w:rPr>
                <w:sz w:val="24"/>
                <w:szCs w:val="24"/>
              </w:rPr>
            </w:pPr>
          </w:p>
        </w:tc>
      </w:tr>
      <w:tr w:rsidR="0074428D" w:rsidRPr="007505DD">
        <w:tc>
          <w:tcPr>
            <w:tcW w:w="1705" w:type="dxa"/>
          </w:tcPr>
          <w:p w:rsidR="0074428D" w:rsidRPr="007505DD" w:rsidRDefault="0074428D" w:rsidP="007505DD">
            <w:pPr>
              <w:spacing w:after="0" w:line="240" w:lineRule="auto"/>
              <w:jc w:val="right"/>
              <w:rPr>
                <w:sz w:val="24"/>
                <w:szCs w:val="24"/>
              </w:rPr>
            </w:pPr>
          </w:p>
        </w:tc>
        <w:tc>
          <w:tcPr>
            <w:tcW w:w="1530" w:type="dxa"/>
          </w:tcPr>
          <w:p w:rsidR="0074428D" w:rsidRPr="007505DD" w:rsidRDefault="0074428D" w:rsidP="007505DD">
            <w:pPr>
              <w:spacing w:after="0" w:line="240" w:lineRule="auto"/>
              <w:jc w:val="right"/>
              <w:rPr>
                <w:sz w:val="24"/>
                <w:szCs w:val="24"/>
              </w:rPr>
            </w:pPr>
            <w:r w:rsidRPr="007505DD">
              <w:rPr>
                <w:sz w:val="24"/>
                <w:szCs w:val="24"/>
              </w:rPr>
              <w:t>38%</w:t>
            </w:r>
          </w:p>
        </w:tc>
        <w:tc>
          <w:tcPr>
            <w:tcW w:w="1439" w:type="dxa"/>
            <w:tcBorders>
              <w:right w:val="single" w:sz="4" w:space="0" w:color="auto"/>
            </w:tcBorders>
          </w:tcPr>
          <w:p w:rsidR="0074428D" w:rsidRPr="007505DD" w:rsidRDefault="0074428D" w:rsidP="007505DD">
            <w:pPr>
              <w:spacing w:after="0" w:line="240" w:lineRule="auto"/>
              <w:jc w:val="right"/>
              <w:rPr>
                <w:sz w:val="24"/>
                <w:szCs w:val="24"/>
              </w:rPr>
            </w:pPr>
            <w:r w:rsidRPr="007505DD">
              <w:rPr>
                <w:sz w:val="24"/>
                <w:szCs w:val="24"/>
              </w:rPr>
              <w:t>62%</w:t>
            </w:r>
          </w:p>
        </w:tc>
        <w:tc>
          <w:tcPr>
            <w:tcW w:w="1558" w:type="dxa"/>
            <w:tcBorders>
              <w:top w:val="nil"/>
              <w:left w:val="single" w:sz="4" w:space="0" w:color="auto"/>
              <w:bottom w:val="nil"/>
              <w:right w:val="nil"/>
            </w:tcBorders>
          </w:tcPr>
          <w:p w:rsidR="0074428D" w:rsidRPr="007505DD" w:rsidRDefault="0074428D" w:rsidP="007505DD">
            <w:pPr>
              <w:spacing w:after="0" w:line="240" w:lineRule="auto"/>
              <w:jc w:val="right"/>
              <w:rPr>
                <w:sz w:val="24"/>
                <w:szCs w:val="24"/>
              </w:rPr>
            </w:pPr>
          </w:p>
        </w:tc>
        <w:tc>
          <w:tcPr>
            <w:tcW w:w="1559" w:type="dxa"/>
            <w:tcBorders>
              <w:top w:val="nil"/>
              <w:left w:val="nil"/>
              <w:bottom w:val="nil"/>
              <w:right w:val="nil"/>
            </w:tcBorders>
          </w:tcPr>
          <w:p w:rsidR="0074428D" w:rsidRPr="007505DD" w:rsidRDefault="0074428D" w:rsidP="007505DD">
            <w:pPr>
              <w:spacing w:after="0" w:line="240" w:lineRule="auto"/>
              <w:jc w:val="right"/>
              <w:rPr>
                <w:sz w:val="24"/>
                <w:szCs w:val="24"/>
              </w:rPr>
            </w:pPr>
          </w:p>
        </w:tc>
      </w:tr>
    </w:tbl>
    <w:p w:rsidR="0074428D" w:rsidRDefault="0074428D" w:rsidP="009A7C59">
      <w:pPr>
        <w:rPr>
          <w:sz w:val="24"/>
          <w:szCs w:val="24"/>
        </w:rPr>
      </w:pPr>
    </w:p>
    <w:p w:rsidR="0074428D" w:rsidRDefault="0074428D" w:rsidP="009A7C59">
      <w:pPr>
        <w:rPr>
          <w:sz w:val="24"/>
          <w:szCs w:val="24"/>
        </w:rPr>
      </w:pPr>
      <w:r>
        <w:rPr>
          <w:sz w:val="24"/>
          <w:szCs w:val="24"/>
        </w:rPr>
        <w:t xml:space="preserve">Public funding for family planning services and supplies in Nevada come from Medicaid (57%), Title X (37%), Other Federal sources (5%) and state-only sources (1%), through safety-net health centers including state and local health departments, federally qualified health centers, Planned Parenthood affiliates, and hospital-based clinics.  Combined, these centers served just 29,650, or 16% of the total population in need. The reported number of teens served was just 4,780, or 13% of the teen population in need.  Only two states, </w:t>
      </w:r>
      <w:smartTag w:uri="urn:schemas-microsoft-com:office:smarttags" w:element="place">
        <w:smartTag w:uri="urn:schemas-microsoft-com:office:smarttags" w:element="State">
          <w:r>
            <w:rPr>
              <w:sz w:val="24"/>
              <w:szCs w:val="24"/>
            </w:rPr>
            <w:t>Louisiana</w:t>
          </w:r>
        </w:smartTag>
      </w:smartTag>
      <w:r>
        <w:rPr>
          <w:sz w:val="24"/>
          <w:szCs w:val="24"/>
        </w:rPr>
        <w:t xml:space="preserve"> and </w:t>
      </w:r>
      <w:smartTag w:uri="urn:schemas-microsoft-com:office:smarttags" w:element="place">
        <w:smartTag w:uri="urn:schemas-microsoft-com:office:smarttags" w:element="State">
          <w:r>
            <w:rPr>
              <w:sz w:val="24"/>
              <w:szCs w:val="24"/>
            </w:rPr>
            <w:t>Texas</w:t>
          </w:r>
        </w:smartTag>
      </w:smartTag>
      <w:r>
        <w:rPr>
          <w:sz w:val="24"/>
          <w:szCs w:val="24"/>
        </w:rPr>
        <w:t>, serve a lower percentage of the total population in need, at 14% and 15%, respectively.</w:t>
      </w:r>
      <w:r>
        <w:rPr>
          <w:rStyle w:val="FootnoteReference"/>
          <w:sz w:val="24"/>
          <w:szCs w:val="24"/>
        </w:rPr>
        <w:footnoteReference w:id="37"/>
      </w:r>
    </w:p>
    <w:p w:rsidR="0074428D" w:rsidRDefault="0074428D" w:rsidP="009A7C59">
      <w:pPr>
        <w:rPr>
          <w:sz w:val="24"/>
          <w:szCs w:val="24"/>
          <w:u w:val="single"/>
        </w:rPr>
      </w:pPr>
    </w:p>
    <w:p w:rsidR="0074428D" w:rsidRDefault="0074428D" w:rsidP="009A7C59">
      <w:pPr>
        <w:rPr>
          <w:sz w:val="24"/>
          <w:szCs w:val="24"/>
          <w:u w:val="single"/>
        </w:rPr>
      </w:pPr>
      <w:r>
        <w:rPr>
          <w:sz w:val="24"/>
          <w:szCs w:val="24"/>
          <w:u w:val="single"/>
        </w:rPr>
        <w:t>Perinatal/Infant Health</w:t>
      </w:r>
    </w:p>
    <w:p w:rsidR="0074428D" w:rsidRDefault="0074428D" w:rsidP="009A7C59">
      <w:pPr>
        <w:rPr>
          <w:sz w:val="24"/>
          <w:szCs w:val="24"/>
        </w:rPr>
      </w:pPr>
      <w:smartTag w:uri="urn:schemas-microsoft-com:office:smarttags" w:element="place">
        <w:smartTag w:uri="urn:schemas-microsoft-com:office:smarttags" w:element="State">
          <w:r>
            <w:rPr>
              <w:sz w:val="24"/>
              <w:szCs w:val="24"/>
            </w:rPr>
            <w:t>Nevada</w:t>
          </w:r>
        </w:smartTag>
      </w:smartTag>
      <w:r>
        <w:rPr>
          <w:sz w:val="24"/>
          <w:szCs w:val="24"/>
        </w:rPr>
        <w:t>’s Infant Mortality Rate (</w:t>
      </w:r>
      <w:smartTag w:uri="urn:schemas-microsoft-com:office:smarttags" w:element="stockticker">
        <w:r>
          <w:rPr>
            <w:sz w:val="24"/>
            <w:szCs w:val="24"/>
          </w:rPr>
          <w:t>IMR</w:t>
        </w:r>
      </w:smartTag>
      <w:r>
        <w:rPr>
          <w:sz w:val="24"/>
          <w:szCs w:val="24"/>
        </w:rPr>
        <w:t>) is below the HP 2020 objective of 6.0 per 1,000 live births reporting at 5.8 in 2009, falling to 5.1 in 2014.  However, racial/ethnic disparities persist with high rates for Blacks at 9.6 and for American Indian/Alaskan Natives at 9.4, while Asians have the lowest rate at 3.8, followed by Hispanics at 4.4 and Whites at 5.2.  Those participating in the WIC program had a lower overall rate of 4.7, compared to those who did not participate at 5.5.</w:t>
      </w:r>
    </w:p>
    <w:p w:rsidR="0074428D" w:rsidRDefault="0074428D" w:rsidP="009A7C59">
      <w:pPr>
        <w:rPr>
          <w:sz w:val="24"/>
          <w:szCs w:val="24"/>
        </w:rPr>
      </w:pPr>
      <w:r>
        <w:rPr>
          <w:sz w:val="24"/>
          <w:szCs w:val="24"/>
        </w:rPr>
        <w:t>Rates for sleep related sudden unexpected infant death (SUID) declined by 23% from 93.1 per 100,000 live births in 2009 to 71.4 in 2013.  The rate was significantly higher for Blacks at 159.1 compared to Whites at 84.1 and Hispanics at 38.9.  Rates were also much higher for moms with less than a high school education compared to those with some college, at 116.1 and 40.1, respectively.  Disparate rates were also seen among teenagers at 162 compared to women 30-34 years of age at 89.9.  The Healthy Start program was awarded federal funding to focus on reducing racial disparities and improving perinatal outcomes to provide coordinated services to foster continuous access to care for women who are pregnant or of childbearing age.</w:t>
      </w:r>
    </w:p>
    <w:p w:rsidR="0074428D" w:rsidRDefault="0074428D" w:rsidP="009A7C59">
      <w:pPr>
        <w:rPr>
          <w:sz w:val="24"/>
          <w:szCs w:val="24"/>
        </w:rPr>
      </w:pPr>
      <w:r>
        <w:rPr>
          <w:sz w:val="24"/>
          <w:szCs w:val="24"/>
        </w:rPr>
        <w:t xml:space="preserve">The rate for initiation of breastfeeding in </w:t>
      </w:r>
      <w:smartTag w:uri="urn:schemas-microsoft-com:office:smarttags" w:element="place">
        <w:smartTag w:uri="urn:schemas-microsoft-com:office:smarttags" w:element="State">
          <w:r>
            <w:rPr>
              <w:sz w:val="24"/>
              <w:szCs w:val="24"/>
            </w:rPr>
            <w:t>Nevada</w:t>
          </w:r>
        </w:smartTag>
      </w:smartTag>
      <w:r>
        <w:rPr>
          <w:sz w:val="24"/>
          <w:szCs w:val="24"/>
        </w:rPr>
        <w:t xml:space="preserve"> was slightly above the national rate, at 80.9% in 2014; for those participating in </w:t>
      </w:r>
      <w:smartTag w:uri="urn:schemas-microsoft-com:office:smarttags" w:element="place">
        <w:smartTag w:uri="urn:schemas-microsoft-com:office:smarttags" w:element="State">
          <w:r>
            <w:rPr>
              <w:sz w:val="24"/>
              <w:szCs w:val="24"/>
            </w:rPr>
            <w:t>Nevada</w:t>
          </w:r>
        </w:smartTag>
      </w:smartTag>
      <w:r>
        <w:rPr>
          <w:sz w:val="24"/>
          <w:szCs w:val="24"/>
        </w:rPr>
        <w:t>’s Home Visiting Program, the rate was 92.1%.  These rates drop off dramatically at six months, when roughly 19% exclusively breastfeed.  Ongoing efforts to support breastfeeding continue with the Nevada Breastfeeding Program and Bring Your Baby to Work program.</w:t>
      </w:r>
    </w:p>
    <w:p w:rsidR="0074428D" w:rsidRPr="00115FCC" w:rsidRDefault="0074428D" w:rsidP="009A7C59">
      <w:pPr>
        <w:rPr>
          <w:sz w:val="24"/>
          <w:szCs w:val="24"/>
          <w:u w:val="single"/>
        </w:rPr>
      </w:pPr>
      <w:r w:rsidRPr="00115FCC">
        <w:rPr>
          <w:sz w:val="24"/>
          <w:szCs w:val="24"/>
          <w:u w:val="single"/>
        </w:rPr>
        <w:lastRenderedPageBreak/>
        <w:t>Child Health</w:t>
      </w:r>
    </w:p>
    <w:p w:rsidR="0074428D" w:rsidRDefault="0074428D" w:rsidP="001207B8">
      <w:pPr>
        <w:autoSpaceDE w:val="0"/>
        <w:autoSpaceDN w:val="0"/>
        <w:adjustRightInd w:val="0"/>
        <w:spacing w:after="0" w:line="240" w:lineRule="auto"/>
        <w:rPr>
          <w:rFonts w:ascii="ArialMT" w:hAnsi="ArialMT" w:cs="ArialMT"/>
          <w:sz w:val="20"/>
          <w:szCs w:val="20"/>
        </w:rPr>
      </w:pPr>
      <w:r w:rsidRPr="00A01860">
        <w:rPr>
          <w:sz w:val="24"/>
          <w:szCs w:val="24"/>
        </w:rPr>
        <w:t>In 2007, only 18.6% of children, ages 10-71 months received a developmental screening using a parent-completed screening tool.  In 2011-2012, the percent increased to 21.9%, with 19.5% of children without special health care needs receiving a developmental screening</w:t>
      </w:r>
      <w:r>
        <w:rPr>
          <w:sz w:val="24"/>
          <w:szCs w:val="24"/>
        </w:rPr>
        <w:t xml:space="preserve"> compared to 48.9% of children with special healthcare needs. Twenty-six percent</w:t>
      </w:r>
      <w:r w:rsidRPr="001207B8">
        <w:rPr>
          <w:rFonts w:cs="ArialMT"/>
          <w:sz w:val="24"/>
          <w:szCs w:val="24"/>
        </w:rPr>
        <w:t xml:space="preserve"> of </w:t>
      </w:r>
      <w:r>
        <w:rPr>
          <w:rFonts w:cs="ArialMT"/>
          <w:sz w:val="24"/>
          <w:szCs w:val="24"/>
        </w:rPr>
        <w:t xml:space="preserve">both </w:t>
      </w:r>
      <w:r w:rsidRPr="001207B8">
        <w:rPr>
          <w:rFonts w:cs="ArialMT"/>
          <w:sz w:val="24"/>
          <w:szCs w:val="24"/>
        </w:rPr>
        <w:t>uninsured children and those</w:t>
      </w:r>
      <w:r>
        <w:rPr>
          <w:rFonts w:cs="ArialMT"/>
          <w:sz w:val="24"/>
          <w:szCs w:val="24"/>
        </w:rPr>
        <w:t xml:space="preserve"> </w:t>
      </w:r>
      <w:r w:rsidRPr="001207B8">
        <w:rPr>
          <w:rFonts w:cs="ArialMT"/>
          <w:sz w:val="24"/>
          <w:szCs w:val="24"/>
        </w:rPr>
        <w:t xml:space="preserve">on Medicaid received a developmental screening </w:t>
      </w:r>
      <w:r>
        <w:rPr>
          <w:rFonts w:cs="ArialMT"/>
          <w:sz w:val="24"/>
          <w:szCs w:val="24"/>
        </w:rPr>
        <w:t>compared to 18</w:t>
      </w:r>
      <w:r w:rsidRPr="001207B8">
        <w:rPr>
          <w:rFonts w:cs="ArialMT"/>
          <w:sz w:val="24"/>
          <w:szCs w:val="24"/>
        </w:rPr>
        <w:t xml:space="preserve">% of those with private insurance. By race/ethnicity, Black (23.5%) and Hispanic (23.3%) </w:t>
      </w:r>
      <w:r>
        <w:rPr>
          <w:rFonts w:cs="ArialMT"/>
          <w:sz w:val="24"/>
          <w:szCs w:val="24"/>
        </w:rPr>
        <w:t xml:space="preserve">children </w:t>
      </w:r>
      <w:r w:rsidRPr="001207B8">
        <w:rPr>
          <w:rFonts w:cs="ArialMT"/>
          <w:sz w:val="24"/>
          <w:szCs w:val="24"/>
        </w:rPr>
        <w:t>were</w:t>
      </w:r>
      <w:r>
        <w:rPr>
          <w:rFonts w:cs="ArialMT"/>
          <w:sz w:val="24"/>
          <w:szCs w:val="24"/>
        </w:rPr>
        <w:t xml:space="preserve"> </w:t>
      </w:r>
      <w:r w:rsidRPr="001207B8">
        <w:rPr>
          <w:rFonts w:cs="ArialMT"/>
          <w:sz w:val="24"/>
          <w:szCs w:val="24"/>
        </w:rPr>
        <w:t>more likely to receive a developmental screening compared to White</w:t>
      </w:r>
      <w:r>
        <w:rPr>
          <w:rFonts w:cs="ArialMT"/>
          <w:sz w:val="24"/>
          <w:szCs w:val="24"/>
        </w:rPr>
        <w:t xml:space="preserve"> children </w:t>
      </w:r>
      <w:r w:rsidRPr="001207B8">
        <w:rPr>
          <w:rFonts w:cs="ArialMT"/>
          <w:sz w:val="24"/>
          <w:szCs w:val="24"/>
        </w:rPr>
        <w:t>(20.8%)</w:t>
      </w:r>
      <w:r>
        <w:rPr>
          <w:rFonts w:ascii="ArialMT" w:hAnsi="ArialMT" w:cs="ArialMT"/>
          <w:sz w:val="20"/>
          <w:szCs w:val="20"/>
        </w:rPr>
        <w:t>.</w:t>
      </w:r>
    </w:p>
    <w:p w:rsidR="0074428D" w:rsidRDefault="0074428D" w:rsidP="001207B8">
      <w:pPr>
        <w:autoSpaceDE w:val="0"/>
        <w:autoSpaceDN w:val="0"/>
        <w:adjustRightInd w:val="0"/>
        <w:spacing w:after="0" w:line="240" w:lineRule="auto"/>
        <w:rPr>
          <w:rFonts w:ascii="ArialMT" w:hAnsi="ArialMT" w:cs="ArialMT"/>
          <w:sz w:val="20"/>
          <w:szCs w:val="20"/>
        </w:rPr>
      </w:pPr>
    </w:p>
    <w:p w:rsidR="0074428D" w:rsidRDefault="0074428D" w:rsidP="001207B8">
      <w:pPr>
        <w:autoSpaceDE w:val="0"/>
        <w:autoSpaceDN w:val="0"/>
        <w:adjustRightInd w:val="0"/>
        <w:spacing w:after="0" w:line="240" w:lineRule="auto"/>
        <w:rPr>
          <w:sz w:val="24"/>
          <w:szCs w:val="24"/>
        </w:rPr>
      </w:pPr>
      <w:r>
        <w:rPr>
          <w:sz w:val="24"/>
          <w:szCs w:val="24"/>
        </w:rPr>
        <w:t>Multiple programs housed in the MCAH section conduct outreach and support for screening, immunization, nutrition and physical activity.  The Nevada Early Hearing Detection and Intervention ensures screening of all children, and employs an audiologist to provide training on the correct newborn screening methods; this has resulted in improved screening and diagnosis.  The Nevada Home Visiting Program conducts periodic screenings for specialty care and makes referrals to both primary and specialty care providers.  The Bright Futures initiative promotes increased access to regular well child visits, with distribution of resource kits that increase program awareness, including Early Periodic Screening, Diagnosis, and Treatment (EPSDT) benefits.</w:t>
      </w:r>
    </w:p>
    <w:p w:rsidR="0074428D" w:rsidRDefault="0074428D" w:rsidP="001207B8">
      <w:pPr>
        <w:autoSpaceDE w:val="0"/>
        <w:autoSpaceDN w:val="0"/>
        <w:adjustRightInd w:val="0"/>
        <w:spacing w:after="0" w:line="240" w:lineRule="auto"/>
        <w:rPr>
          <w:sz w:val="24"/>
          <w:szCs w:val="24"/>
        </w:rPr>
      </w:pPr>
    </w:p>
    <w:p w:rsidR="0074428D" w:rsidRDefault="0074428D" w:rsidP="009A7C59">
      <w:pPr>
        <w:rPr>
          <w:sz w:val="24"/>
          <w:szCs w:val="24"/>
        </w:rPr>
      </w:pPr>
      <w:r>
        <w:rPr>
          <w:sz w:val="24"/>
          <w:szCs w:val="24"/>
        </w:rPr>
        <w:t xml:space="preserve">Immunization rates have dropped in the recent past in various populations, possibly attributed to nonmedical vaccine exemptions.  The MCAH needs assessment found that parents and stakeholders were concerned about myths surrounding vaccines as well as the rising number of children in their communities who were not vaccinated.  Parents requested clear information and school-based immunizations.  In 2013, the percent of children who received the combined series of vaccines significantly increased to 60.6% from 38.3% in 2009.  However, </w:t>
      </w:r>
      <w:smartTag w:uri="urn:schemas-microsoft-com:office:smarttags" w:element="place">
        <w:smartTag w:uri="urn:schemas-microsoft-com:office:smarttags" w:element="State">
          <w:r>
            <w:rPr>
              <w:sz w:val="24"/>
              <w:szCs w:val="24"/>
            </w:rPr>
            <w:t>Nevada</w:t>
          </w:r>
        </w:smartTag>
      </w:smartTag>
      <w:r>
        <w:rPr>
          <w:sz w:val="24"/>
          <w:szCs w:val="24"/>
        </w:rPr>
        <w:t xml:space="preserve"> is still below the national percentage of 70.4%, as well as the HP 2020 objective of 80%.  Several initiatives are being carried out by MCAH partners and stakeholders, including Immunize </w:t>
      </w:r>
      <w:smartTag w:uri="urn:schemas-microsoft-com:office:smarttags" w:element="place">
        <w:smartTag w:uri="urn:schemas-microsoft-com:office:smarttags" w:element="State">
          <w:r>
            <w:rPr>
              <w:sz w:val="24"/>
              <w:szCs w:val="24"/>
            </w:rPr>
            <w:t>Nevada</w:t>
          </w:r>
        </w:smartTag>
      </w:smartTag>
      <w:r>
        <w:rPr>
          <w:sz w:val="24"/>
          <w:szCs w:val="24"/>
        </w:rPr>
        <w:t>, which provided 78% more vaccines than last year and conducted community outreach and education.</w:t>
      </w:r>
    </w:p>
    <w:p w:rsidR="0074428D" w:rsidRDefault="0074428D" w:rsidP="009A7C59">
      <w:pPr>
        <w:rPr>
          <w:sz w:val="24"/>
          <w:szCs w:val="24"/>
        </w:rPr>
      </w:pPr>
      <w:r>
        <w:rPr>
          <w:sz w:val="24"/>
          <w:szCs w:val="24"/>
        </w:rPr>
        <w:t xml:space="preserve">The prevalence of overweight or obese children increased by 15% to 38.1% in </w:t>
      </w:r>
      <w:smartTag w:uri="urn:schemas-microsoft-com:office:smarttags" w:element="place">
        <w:smartTag w:uri="urn:schemas-microsoft-com:office:smarttags" w:element="State">
          <w:r>
            <w:rPr>
              <w:sz w:val="24"/>
              <w:szCs w:val="24"/>
            </w:rPr>
            <w:t>Nevada</w:t>
          </w:r>
        </w:smartTag>
      </w:smartTag>
      <w:r>
        <w:rPr>
          <w:sz w:val="24"/>
          <w:szCs w:val="24"/>
        </w:rPr>
        <w:t xml:space="preserve">, from 2012 to 2014.  Results from the needs assessment indicated a lack of education and service related to factors that lead to obesity, including adult and child nutrition as well as physical activity.  Both parents and stakeholders suggested increasing regulation related to children’s food, promoting affordable sports, utilizing activity buses and collaborating with Family Resource Centers.  A Statewide Obesity Prevention Taskforce is planned to lead these efforts and the Comprehensive School Physical Activity Program provides training to school staff and other partners. </w:t>
      </w:r>
    </w:p>
    <w:p w:rsidR="0074428D" w:rsidRPr="005127A0" w:rsidRDefault="0074428D" w:rsidP="009A7C59">
      <w:pPr>
        <w:rPr>
          <w:sz w:val="24"/>
          <w:szCs w:val="24"/>
          <w:u w:val="single"/>
        </w:rPr>
      </w:pPr>
      <w:r w:rsidRPr="005127A0">
        <w:rPr>
          <w:sz w:val="24"/>
          <w:szCs w:val="24"/>
          <w:u w:val="single"/>
        </w:rPr>
        <w:lastRenderedPageBreak/>
        <w:t>Adolescent Health</w:t>
      </w:r>
    </w:p>
    <w:p w:rsidR="0074428D" w:rsidRDefault="0074428D" w:rsidP="009A7C59">
      <w:pPr>
        <w:rPr>
          <w:sz w:val="24"/>
          <w:szCs w:val="24"/>
        </w:rPr>
      </w:pPr>
      <w:r>
        <w:rPr>
          <w:sz w:val="24"/>
          <w:szCs w:val="24"/>
        </w:rPr>
        <w:t xml:space="preserve">Comprehensive annual check-ups are recommended for adolescents, and health coverage and access were top needs highlighted in the needs assessment. In 2011-12, 67.3% of </w:t>
      </w:r>
      <w:smartTag w:uri="urn:schemas-microsoft-com:office:smarttags" w:element="place">
        <w:smartTag w:uri="urn:schemas-microsoft-com:office:smarttags" w:element="State">
          <w:r>
            <w:rPr>
              <w:sz w:val="24"/>
              <w:szCs w:val="24"/>
            </w:rPr>
            <w:t>Nevada</w:t>
          </w:r>
        </w:smartTag>
      </w:smartTag>
      <w:r>
        <w:rPr>
          <w:sz w:val="24"/>
          <w:szCs w:val="24"/>
        </w:rPr>
        <w:t xml:space="preserve">’s adolescents, ages 12 – 17 had a preventive medical visit in the past year, which is below the HP 2020 goal of 75.6%.  Hispanics were much less likely to get a preventive medical visit in the past year, at 62.1% compared to Whites at 72.0% and Blacks at 72.7%.  Adolescents born outside the </w:t>
      </w:r>
      <w:smartTag w:uri="urn:schemas-microsoft-com:office:smarttags" w:element="place">
        <w:smartTag w:uri="urn:schemas-microsoft-com:office:smarttags" w:element="country-region">
          <w:r>
            <w:rPr>
              <w:sz w:val="24"/>
              <w:szCs w:val="24"/>
            </w:rPr>
            <w:t>U.S.</w:t>
          </w:r>
        </w:smartTag>
      </w:smartTag>
      <w:r>
        <w:rPr>
          <w:sz w:val="24"/>
          <w:szCs w:val="24"/>
        </w:rPr>
        <w:t xml:space="preserve"> were least likely to receive a preventive medical visit at 57.8% compared to 73.1% for those born in the </w:t>
      </w:r>
      <w:smartTag w:uri="urn:schemas-microsoft-com:office:smarttags" w:element="place">
        <w:smartTag w:uri="urn:schemas-microsoft-com:office:smarttags" w:element="country-region">
          <w:r>
            <w:rPr>
              <w:sz w:val="24"/>
              <w:szCs w:val="24"/>
            </w:rPr>
            <w:t>U.S.</w:t>
          </w:r>
        </w:smartTag>
      </w:smartTag>
      <w:r>
        <w:rPr>
          <w:sz w:val="24"/>
          <w:szCs w:val="24"/>
        </w:rPr>
        <w:t xml:space="preserve">  The needs assessment showed that insurance was a barrier to seeking and receiving health services.  Those with private insurance received preventive services at a rate of 74.2% compared to Medicaid at 70.1%, both far above the 33.6% rate for adolescents without insurance.  Females had a higher rate than males, at 72.5% compared to 61.8%.</w:t>
      </w:r>
    </w:p>
    <w:p w:rsidR="0074428D" w:rsidRDefault="0074428D" w:rsidP="009A7C59">
      <w:pPr>
        <w:rPr>
          <w:sz w:val="24"/>
          <w:szCs w:val="24"/>
        </w:rPr>
      </w:pPr>
      <w:r>
        <w:rPr>
          <w:sz w:val="24"/>
          <w:szCs w:val="24"/>
        </w:rPr>
        <w:t xml:space="preserve">The rate for Nevada females aged 13-17 who got at least one dose of the HPV vaccine in 2013 was 53.8% compared to the national average of 57.3%.; Nevada males had a much lower rate at 31.9%.  Hispanic adolescents had a significantly higher rate at 71.2% compared to Whites at 46.9% and Blacks at 48.5%.  Female adolescents on Medicaid were at 65.6% compared to 61.7% for those with other public insurance, 58.0% for those without insurance, and 49.4% for those with private insurance.  Geographically, urban adolescents were much higher than their rural counterparts, at 69.5% and 41.7%, respectively. </w:t>
      </w:r>
    </w:p>
    <w:p w:rsidR="0074428D" w:rsidRDefault="0074428D" w:rsidP="009A7C59">
      <w:pPr>
        <w:rPr>
          <w:sz w:val="24"/>
          <w:szCs w:val="24"/>
        </w:rPr>
      </w:pPr>
      <w:r>
        <w:rPr>
          <w:sz w:val="24"/>
          <w:szCs w:val="24"/>
        </w:rPr>
        <w:t>Teen pregnancy prevention was one of the priorities underscored in the needs assessment.  The Nevada Adolescent Health Program addresses this issue, with supplemental support from the National Governor’s Association Collaborative on Improving Birth Outcomes, which promotes Long Acting Reversible Contraceptives (LARC).  Nevada’s teen birth rate significantly declined by 53% from a high of 26.4 per 1,000 in 2007 to a record low of 12.3 in 2013, which is similar to the national teen birth rate.  However, disparities persist with Hispanics representing over half of teen births in 2011 at 53%, compared to 26% for Whites, 16% for Blacks, 4% for Asians, and 1% for American Indian or Alaska Natives.</w:t>
      </w:r>
    </w:p>
    <w:p w:rsidR="0074428D" w:rsidRDefault="0074428D" w:rsidP="009A7C59">
      <w:pPr>
        <w:rPr>
          <w:sz w:val="24"/>
          <w:szCs w:val="24"/>
        </w:rPr>
      </w:pPr>
      <w:r>
        <w:rPr>
          <w:sz w:val="24"/>
          <w:szCs w:val="24"/>
        </w:rPr>
        <w:t>Rates of engagement in physical activity among adolescents was better for Blacks at 29.3%, compared to just 14% overall, in 2011-12.</w:t>
      </w:r>
    </w:p>
    <w:p w:rsidR="0074428D" w:rsidRPr="002A2C0E" w:rsidRDefault="0074428D" w:rsidP="009A7C59">
      <w:pPr>
        <w:rPr>
          <w:sz w:val="24"/>
          <w:szCs w:val="24"/>
          <w:u w:val="single"/>
        </w:rPr>
      </w:pPr>
      <w:r w:rsidRPr="002A2C0E">
        <w:rPr>
          <w:sz w:val="24"/>
          <w:szCs w:val="24"/>
          <w:u w:val="single"/>
        </w:rPr>
        <w:t>Children and Youth with Special Health Care Needs</w:t>
      </w:r>
    </w:p>
    <w:p w:rsidR="0074428D" w:rsidRDefault="0074428D" w:rsidP="009A7C59">
      <w:pPr>
        <w:rPr>
          <w:sz w:val="24"/>
          <w:szCs w:val="24"/>
        </w:rPr>
      </w:pPr>
      <w:r>
        <w:rPr>
          <w:sz w:val="24"/>
          <w:szCs w:val="24"/>
        </w:rPr>
        <w:t xml:space="preserve">Nevada's children and youth with special health care needs (CYSHCN) composed 14.9% of the </w:t>
      </w:r>
      <w:r w:rsidR="00DA1648">
        <w:rPr>
          <w:sz w:val="24"/>
          <w:szCs w:val="24"/>
        </w:rPr>
        <w:t xml:space="preserve">overall child and youth </w:t>
      </w:r>
      <w:r>
        <w:rPr>
          <w:sz w:val="24"/>
          <w:szCs w:val="24"/>
        </w:rPr>
        <w:t xml:space="preserve">population in 2011-12; 23.6% were aged 12-17 and 6.8% were aged 0-5 years.  Medicaid covered 16.8%, while 15.2% had private insurance and 10.5% were uninsured.  A plurality were of multiple races at 20.6%, followed by White at 17.4%, then </w:t>
      </w:r>
      <w:r>
        <w:rPr>
          <w:sz w:val="24"/>
          <w:szCs w:val="24"/>
        </w:rPr>
        <w:lastRenderedPageBreak/>
        <w:t xml:space="preserve">Black at 13.1% and Hispanic at 9.0%.  Eighteen percent of males have special health care needs compared to 11.7% of females.  </w:t>
      </w:r>
    </w:p>
    <w:p w:rsidR="0074428D" w:rsidRDefault="0074428D" w:rsidP="009A7C59">
      <w:pPr>
        <w:rPr>
          <w:sz w:val="24"/>
          <w:szCs w:val="24"/>
        </w:rPr>
      </w:pPr>
      <w:r>
        <w:rPr>
          <w:sz w:val="24"/>
          <w:szCs w:val="24"/>
        </w:rPr>
        <w:t xml:space="preserve">The MCAH program is funding the development of </w:t>
      </w:r>
      <w:smartTag w:uri="urn:schemas-microsoft-com:office:smarttags" w:element="State">
        <w:smartTag w:uri="urn:schemas-microsoft-com:office:smarttags" w:element="place">
          <w:r>
            <w:rPr>
              <w:sz w:val="24"/>
              <w:szCs w:val="24"/>
            </w:rPr>
            <w:t>Nevada</w:t>
          </w:r>
        </w:smartTag>
      </w:smartTag>
      <w:r>
        <w:rPr>
          <w:sz w:val="24"/>
          <w:szCs w:val="24"/>
        </w:rPr>
        <w:t xml:space="preserve">'s medical home portal in collaboration with the Department of Pediatrics at University of Utah Health Sciences Center.  This portal will support screening and services for CYSHCN and others with a comprehensive, coordinated and integrated state system.  The number of children with a medical home in </w:t>
      </w:r>
      <w:smartTag w:uri="urn:schemas-microsoft-com:office:smarttags" w:element="State">
        <w:smartTag w:uri="urn:schemas-microsoft-com:office:smarttags" w:element="place">
          <w:r>
            <w:rPr>
              <w:sz w:val="24"/>
              <w:szCs w:val="24"/>
            </w:rPr>
            <w:t>Nevada</w:t>
          </w:r>
        </w:smartTag>
      </w:smartTag>
      <w:r>
        <w:rPr>
          <w:sz w:val="24"/>
          <w:szCs w:val="24"/>
        </w:rPr>
        <w:t xml:space="preserve"> increased significantly from 37.2% in 2007 to 43.3%.  Those age 6-11 were more likely to have a medical home at 63.3%.  Across race/ethnicity, children of multiple race were more likely to have a medical home at 61.3% compared to Whites at 57%. and Hispanics at just 25.8%.  By insurance status, children with private insurance were more likely to have a medical home than those on Medicaid, at 51.4% and 38.5%, respectively.</w:t>
      </w:r>
    </w:p>
    <w:p w:rsidR="0074428D" w:rsidRPr="007B226D" w:rsidRDefault="0074428D" w:rsidP="009A7C59">
      <w:pPr>
        <w:rPr>
          <w:sz w:val="24"/>
          <w:szCs w:val="24"/>
          <w:u w:val="single"/>
        </w:rPr>
      </w:pPr>
      <w:r w:rsidRPr="007B226D">
        <w:rPr>
          <w:sz w:val="24"/>
          <w:szCs w:val="24"/>
          <w:u w:val="single"/>
        </w:rPr>
        <w:t>Cross-Cutting/Life Course</w:t>
      </w:r>
    </w:p>
    <w:p w:rsidR="0074428D" w:rsidRDefault="0074428D" w:rsidP="009A7C59">
      <w:pPr>
        <w:rPr>
          <w:sz w:val="24"/>
          <w:szCs w:val="24"/>
        </w:rPr>
      </w:pPr>
      <w:r>
        <w:rPr>
          <w:sz w:val="24"/>
          <w:szCs w:val="24"/>
        </w:rPr>
        <w:t xml:space="preserve">A life course approach links socioeconomic conditions in one phase of life to health outcomes at a later stage, to address risk factors associated with inequality.  Key focus areas include tobacco use among adolescents, pregnant women and women of childbearing age, and insurance coverage for children.  </w:t>
      </w:r>
    </w:p>
    <w:p w:rsidR="0074428D" w:rsidRDefault="0074428D" w:rsidP="003A6173">
      <w:pPr>
        <w:rPr>
          <w:sz w:val="24"/>
          <w:szCs w:val="24"/>
        </w:rPr>
      </w:pPr>
      <w:r>
        <w:rPr>
          <w:sz w:val="24"/>
          <w:szCs w:val="24"/>
        </w:rPr>
        <w:t xml:space="preserve">Tobacco use prevention was identified as a top priority for pregnant women and children, through the needs assessment.  In 2014, 3.8% of women in </w:t>
      </w:r>
      <w:smartTag w:uri="urn:schemas-microsoft-com:office:smarttags" w:element="State">
        <w:smartTag w:uri="urn:schemas-microsoft-com:office:smarttags" w:element="place">
          <w:r>
            <w:rPr>
              <w:sz w:val="24"/>
              <w:szCs w:val="24"/>
            </w:rPr>
            <w:t>Nevada</w:t>
          </w:r>
        </w:smartTag>
      </w:smartTag>
      <w:r>
        <w:rPr>
          <w:sz w:val="24"/>
          <w:szCs w:val="24"/>
        </w:rPr>
        <w:t xml:space="preserve"> reported smoking in the last three months of pregnancy, a 12% decrease from 2013.  Collaboration with the Tobacco Prevention and Cessation Program and Nevada Medicaid includes strategies for pregnant women.  Customized Text4Baby messages are also sent to mothers who sign up for the services, and substance use prevention information is distributed to this target population in collaboration with the Substance Abuse Prevention and Treatment Agency (SAPTA).</w:t>
      </w:r>
    </w:p>
    <w:p w:rsidR="0074428D" w:rsidRDefault="0074428D" w:rsidP="009A7C59">
      <w:pPr>
        <w:rPr>
          <w:sz w:val="24"/>
          <w:szCs w:val="24"/>
        </w:rPr>
      </w:pPr>
      <w:r>
        <w:rPr>
          <w:sz w:val="24"/>
          <w:szCs w:val="24"/>
        </w:rPr>
        <w:t xml:space="preserve">One of the most prevalent unmet health care needs for women, children and adolescents in Nevada is mental health.  In 2011-2012, just 49.3% of children with a mental/behavioral condition received treatment or counseling, far below the HP 2020 objective of 75.0%.  White children were the most likely to receive treatment or counseling, at 59.3%.  In the same timeframe, the suicide rate for teens ages 15 - 19 was 9.6 per 100,000.  White teens were more likely than any other race/ethnic group to commit suicide at a rate of 11.7; males were three times more likely than females; and rural/frontier teens were twice as likely as their urban counterparts to commit suicide.  These patterns of suicide risk in </w:t>
      </w:r>
      <w:smartTag w:uri="urn:schemas-microsoft-com:office:smarttags" w:element="State">
        <w:smartTag w:uri="urn:schemas-microsoft-com:office:smarttags" w:element="place">
          <w:r>
            <w:rPr>
              <w:sz w:val="24"/>
              <w:szCs w:val="24"/>
            </w:rPr>
            <w:t>Nevada</w:t>
          </w:r>
        </w:smartTag>
      </w:smartTag>
      <w:r>
        <w:rPr>
          <w:sz w:val="24"/>
          <w:szCs w:val="24"/>
        </w:rPr>
        <w:t xml:space="preserve"> are similar to those in the </w:t>
      </w:r>
      <w:smartTag w:uri="urn:schemas-microsoft-com:office:smarttags" w:element="country-region">
        <w:smartTag w:uri="urn:schemas-microsoft-com:office:smarttags" w:element="place">
          <w:r>
            <w:rPr>
              <w:sz w:val="24"/>
              <w:szCs w:val="24"/>
            </w:rPr>
            <w:t>U.S.</w:t>
          </w:r>
        </w:smartTag>
      </w:smartTag>
      <w:r>
        <w:rPr>
          <w:sz w:val="24"/>
          <w:szCs w:val="24"/>
        </w:rPr>
        <w:t xml:space="preserve"> and most developed nations.  Over 8,000 Nevadans have been trained on suicide intervention, including school district superintendents and administrators, following recent legislation </w:t>
      </w:r>
      <w:r>
        <w:rPr>
          <w:sz w:val="24"/>
          <w:szCs w:val="24"/>
        </w:rPr>
        <w:lastRenderedPageBreak/>
        <w:t xml:space="preserve">to require school training in suicide and bullying prevention.  Surveys show reduced stigma and taboo around the subject of suicide.  School-based health centers receive Title V funds to provide comprehensive mental/behavioral health services to children, and </w:t>
      </w:r>
      <w:smartTag w:uri="urn:schemas-microsoft-com:office:smarttags" w:element="State">
        <w:smartTag w:uri="urn:schemas-microsoft-com:office:smarttags" w:element="place">
          <w:r>
            <w:rPr>
              <w:sz w:val="24"/>
              <w:szCs w:val="24"/>
            </w:rPr>
            <w:t>Nevada</w:t>
          </w:r>
        </w:smartTag>
      </w:smartTag>
      <w:r>
        <w:rPr>
          <w:sz w:val="24"/>
          <w:szCs w:val="24"/>
        </w:rPr>
        <w:t xml:space="preserve"> </w:t>
      </w:r>
      <w:smartTag w:uri="urn:schemas-microsoft-com:office:smarttags" w:element="date">
        <w:smartTagPr>
          <w:attr w:name="Year" w:val="2001"/>
          <w:attr w:name="Day" w:val="1"/>
          <w:attr w:name="Month" w:val="2"/>
        </w:smartTagPr>
        <w:r>
          <w:rPr>
            <w:sz w:val="24"/>
            <w:szCs w:val="24"/>
          </w:rPr>
          <w:t>2-1-1</w:t>
        </w:r>
      </w:smartTag>
      <w:r>
        <w:rPr>
          <w:sz w:val="24"/>
          <w:szCs w:val="24"/>
        </w:rPr>
        <w:t xml:space="preserve"> provides additional resources and support for children, youth and families.</w:t>
      </w:r>
    </w:p>
    <w:p w:rsidR="0074428D" w:rsidRPr="00C94EDC" w:rsidRDefault="0074428D" w:rsidP="009A7C59">
      <w:pPr>
        <w:rPr>
          <w:sz w:val="24"/>
          <w:szCs w:val="24"/>
          <w:u w:val="single"/>
        </w:rPr>
      </w:pPr>
      <w:r w:rsidRPr="00C94EDC">
        <w:rPr>
          <w:sz w:val="24"/>
          <w:szCs w:val="24"/>
          <w:u w:val="single"/>
        </w:rPr>
        <w:t xml:space="preserve">Health </w:t>
      </w:r>
      <w:r>
        <w:rPr>
          <w:sz w:val="24"/>
          <w:szCs w:val="24"/>
          <w:u w:val="single"/>
        </w:rPr>
        <w:t>Access</w:t>
      </w:r>
    </w:p>
    <w:p w:rsidR="0074428D" w:rsidRDefault="0074428D" w:rsidP="009A7C59">
      <w:pPr>
        <w:rPr>
          <w:sz w:val="24"/>
          <w:szCs w:val="24"/>
        </w:rPr>
      </w:pPr>
      <w:r>
        <w:rPr>
          <w:sz w:val="24"/>
          <w:szCs w:val="24"/>
        </w:rPr>
        <w:t xml:space="preserve">Health insurance was identified as a major concern for all population domains, as a key barrier to health access, in addition to the limited number of providers accepting Medicaid, the high volume of paperwork required for the application process, and lack of transportation, particularly in </w:t>
      </w:r>
      <w:smartTag w:uri="urn:schemas-microsoft-com:office:smarttags" w:element="place">
        <w:smartTag w:uri="urn:schemas-microsoft-com:office:smarttags" w:element="PlaceName">
          <w:r>
            <w:rPr>
              <w:sz w:val="24"/>
              <w:szCs w:val="24"/>
            </w:rPr>
            <w:t>Clark</w:t>
          </w:r>
        </w:smartTag>
        <w:r>
          <w:rPr>
            <w:sz w:val="24"/>
            <w:szCs w:val="24"/>
          </w:rPr>
          <w:t xml:space="preserve"> </w:t>
        </w:r>
        <w:smartTag w:uri="urn:schemas-microsoft-com:office:smarttags" w:element="PlaceType">
          <w:r>
            <w:rPr>
              <w:sz w:val="24"/>
              <w:szCs w:val="24"/>
            </w:rPr>
            <w:t>County</w:t>
          </w:r>
        </w:smartTag>
      </w:smartTag>
      <w:r>
        <w:rPr>
          <w:sz w:val="24"/>
          <w:szCs w:val="24"/>
        </w:rPr>
        <w:t xml:space="preserve">.  </w:t>
      </w:r>
    </w:p>
    <w:p w:rsidR="0074428D" w:rsidRDefault="0074428D" w:rsidP="009A7C59">
      <w:pPr>
        <w:rPr>
          <w:sz w:val="24"/>
          <w:szCs w:val="24"/>
        </w:rPr>
      </w:pPr>
      <w:r>
        <w:rPr>
          <w:sz w:val="24"/>
          <w:szCs w:val="24"/>
        </w:rPr>
        <w:t xml:space="preserve">Nevada Medicaid is administered by the Division of Health Care Financing and Policy (DHCFP) with contracted managed care organizations for a majority of the population in </w:t>
      </w:r>
      <w:smartTag w:uri="urn:schemas-microsoft-com:office:smarttags" w:element="place">
        <w:r>
          <w:rPr>
            <w:sz w:val="24"/>
            <w:szCs w:val="24"/>
          </w:rPr>
          <w:t>Clark</w:t>
        </w:r>
      </w:smartTag>
      <w:r>
        <w:rPr>
          <w:sz w:val="24"/>
          <w:szCs w:val="24"/>
        </w:rPr>
        <w:t xml:space="preserve"> and Washoe Counties, and fee-for-service in rural and frontier counties.  The Children's Health Insurance Program (CHIP) is also managed by the DHCFP and covers children without private insurance or Medicaid coverage.  In 2013, 21,356 children were covered, with significant increase to 32,825 in 2014.  The overall uninsured rate for </w:t>
      </w:r>
      <w:smartTag w:uri="urn:schemas-microsoft-com:office:smarttags" w:element="State">
        <w:smartTag w:uri="urn:schemas-microsoft-com:office:smarttags" w:element="place">
          <w:r>
            <w:rPr>
              <w:sz w:val="24"/>
              <w:szCs w:val="24"/>
            </w:rPr>
            <w:t>Nevada</w:t>
          </w:r>
        </w:smartTag>
      </w:smartTag>
      <w:r>
        <w:rPr>
          <w:sz w:val="24"/>
          <w:szCs w:val="24"/>
        </w:rPr>
        <w:t xml:space="preserve"> children has dropped from 18.0% in 2009 to 13.9% in 2013, but the HP 2020 objective is to increase coverage to 100%.  Children aged 12-17 have the highest uninsured rate at 16%.  Native Hawaiian/other Pacific Islander children are most likely to be uninsured at 20.7% compared to multi-race children who are least likely to be uninsured at 7.9%.  Children born outside the </w:t>
      </w:r>
      <w:smartTag w:uri="urn:schemas-microsoft-com:office:smarttags" w:element="place">
        <w:smartTag w:uri="urn:schemas-microsoft-com:office:smarttags" w:element="country-region">
          <w:r>
            <w:rPr>
              <w:sz w:val="24"/>
              <w:szCs w:val="24"/>
            </w:rPr>
            <w:t>U.S.</w:t>
          </w:r>
        </w:smartTag>
      </w:smartTag>
      <w:r>
        <w:rPr>
          <w:sz w:val="24"/>
          <w:szCs w:val="24"/>
        </w:rPr>
        <w:t xml:space="preserve"> were twice as likely as those born in the </w:t>
      </w:r>
      <w:smartTag w:uri="urn:schemas-microsoft-com:office:smarttags" w:element="place">
        <w:smartTag w:uri="urn:schemas-microsoft-com:office:smarttags" w:element="country-region">
          <w:r>
            <w:rPr>
              <w:sz w:val="24"/>
              <w:szCs w:val="24"/>
            </w:rPr>
            <w:t>U.S.</w:t>
          </w:r>
        </w:smartTag>
      </w:smartTag>
      <w:r>
        <w:rPr>
          <w:sz w:val="24"/>
          <w:szCs w:val="24"/>
        </w:rPr>
        <w:t xml:space="preserve"> to be uninsured.</w:t>
      </w:r>
    </w:p>
    <w:p w:rsidR="0074428D" w:rsidRDefault="0074428D" w:rsidP="009A7C59">
      <w:pPr>
        <w:rPr>
          <w:sz w:val="24"/>
          <w:szCs w:val="24"/>
        </w:rPr>
      </w:pPr>
      <w:r>
        <w:rPr>
          <w:sz w:val="24"/>
          <w:szCs w:val="24"/>
        </w:rPr>
        <w:t>The Primary Care O</w:t>
      </w:r>
      <w:r w:rsidRPr="00050915">
        <w:rPr>
          <w:sz w:val="24"/>
          <w:szCs w:val="24"/>
        </w:rPr>
        <w:t>ffice</w:t>
      </w:r>
      <w:r>
        <w:rPr>
          <w:sz w:val="24"/>
          <w:szCs w:val="24"/>
        </w:rPr>
        <w:t xml:space="preserve"> (PCO)</w:t>
      </w:r>
      <w:r w:rsidRPr="00050915">
        <w:rPr>
          <w:sz w:val="24"/>
          <w:szCs w:val="24"/>
        </w:rPr>
        <w:t xml:space="preserve"> is </w:t>
      </w:r>
      <w:r>
        <w:rPr>
          <w:sz w:val="24"/>
          <w:szCs w:val="24"/>
        </w:rPr>
        <w:t xml:space="preserve">funded to establish and maintain health professional shortage area designations to leverage federal resources for recruitment and retention of health professionals, to help </w:t>
      </w:r>
      <w:r w:rsidRPr="00804777">
        <w:rPr>
          <w:sz w:val="24"/>
          <w:szCs w:val="24"/>
          <w:u w:val="single"/>
        </w:rPr>
        <w:t>improve access to health care</w:t>
      </w:r>
      <w:r>
        <w:rPr>
          <w:sz w:val="24"/>
          <w:szCs w:val="24"/>
        </w:rPr>
        <w:t xml:space="preserve">.  </w:t>
      </w:r>
    </w:p>
    <w:p w:rsidR="0074428D" w:rsidRPr="00050915" w:rsidRDefault="0074428D" w:rsidP="009A7C59">
      <w:pPr>
        <w:rPr>
          <w:sz w:val="24"/>
          <w:szCs w:val="24"/>
        </w:rPr>
      </w:pPr>
    </w:p>
    <w:p w:rsidR="0074428D" w:rsidRPr="00643EE3" w:rsidRDefault="0074428D" w:rsidP="009A7C59">
      <w:pPr>
        <w:rPr>
          <w:b/>
          <w:sz w:val="24"/>
          <w:szCs w:val="24"/>
        </w:rPr>
      </w:pPr>
      <w:r>
        <w:rPr>
          <w:b/>
          <w:sz w:val="24"/>
          <w:szCs w:val="24"/>
        </w:rPr>
        <w:t xml:space="preserve">HEALTH PROFESSIONAL SHORTAGE </w:t>
      </w:r>
      <w:smartTag w:uri="urn:schemas-microsoft-com:office:smarttags" w:element="stockticker">
        <w:r>
          <w:rPr>
            <w:b/>
            <w:sz w:val="24"/>
            <w:szCs w:val="24"/>
          </w:rPr>
          <w:t>AREA</w:t>
        </w:r>
      </w:smartTag>
      <w:r>
        <w:rPr>
          <w:b/>
          <w:sz w:val="24"/>
          <w:szCs w:val="24"/>
        </w:rPr>
        <w:t xml:space="preserve"> DESIGNATIONS</w:t>
      </w:r>
    </w:p>
    <w:p w:rsidR="0074428D" w:rsidRDefault="0074428D" w:rsidP="009A7C59">
      <w:pPr>
        <w:rPr>
          <w:sz w:val="24"/>
          <w:szCs w:val="24"/>
        </w:rPr>
      </w:pPr>
      <w:r>
        <w:rPr>
          <w:sz w:val="24"/>
          <w:szCs w:val="24"/>
        </w:rPr>
        <w:t>For the PCO, the health professional shortage area (HPSA) designation process is a practical analysis of the primary data collected through our provider surveys, and the secondary data collected from our partners.  The HPSA designations reflect the principle indicators, at the county and sub-county levels, that the PCO considers for assessing specific needs to support recruitment of providers:</w:t>
      </w:r>
    </w:p>
    <w:p w:rsidR="0074428D" w:rsidRDefault="0074428D" w:rsidP="00D60D1D">
      <w:pPr>
        <w:pStyle w:val="ListParagraph"/>
        <w:numPr>
          <w:ilvl w:val="0"/>
          <w:numId w:val="2"/>
        </w:numPr>
        <w:rPr>
          <w:sz w:val="24"/>
          <w:szCs w:val="24"/>
        </w:rPr>
      </w:pPr>
      <w:r>
        <w:rPr>
          <w:sz w:val="24"/>
          <w:szCs w:val="24"/>
        </w:rPr>
        <w:t>Lack statewide access to preventive and primary care services;</w:t>
      </w:r>
    </w:p>
    <w:p w:rsidR="0074428D" w:rsidRDefault="0074428D" w:rsidP="00D60D1D">
      <w:pPr>
        <w:pStyle w:val="ListParagraph"/>
        <w:numPr>
          <w:ilvl w:val="0"/>
          <w:numId w:val="2"/>
        </w:numPr>
        <w:rPr>
          <w:sz w:val="24"/>
          <w:szCs w:val="24"/>
        </w:rPr>
      </w:pPr>
      <w:r>
        <w:rPr>
          <w:sz w:val="24"/>
          <w:szCs w:val="24"/>
        </w:rPr>
        <w:t>Experience shortage of primary care, mental health and dental providers;</w:t>
      </w:r>
    </w:p>
    <w:p w:rsidR="0074428D" w:rsidRDefault="0074428D" w:rsidP="00D60D1D">
      <w:pPr>
        <w:pStyle w:val="ListParagraph"/>
        <w:numPr>
          <w:ilvl w:val="0"/>
          <w:numId w:val="2"/>
        </w:numPr>
        <w:rPr>
          <w:sz w:val="24"/>
          <w:szCs w:val="24"/>
        </w:rPr>
      </w:pPr>
      <w:r>
        <w:rPr>
          <w:sz w:val="24"/>
          <w:szCs w:val="24"/>
        </w:rPr>
        <w:lastRenderedPageBreak/>
        <w:t>Experience key barriers to access to health care (e.g. waiting time, travel time, water fluoridation);</w:t>
      </w:r>
    </w:p>
    <w:p w:rsidR="0074428D" w:rsidRDefault="0074428D" w:rsidP="00D60D1D">
      <w:pPr>
        <w:pStyle w:val="ListParagraph"/>
        <w:numPr>
          <w:ilvl w:val="0"/>
          <w:numId w:val="2"/>
        </w:numPr>
        <w:rPr>
          <w:sz w:val="24"/>
          <w:szCs w:val="24"/>
        </w:rPr>
      </w:pPr>
      <w:r>
        <w:rPr>
          <w:sz w:val="24"/>
          <w:szCs w:val="24"/>
        </w:rPr>
        <w:t>Demonstrate the highest need for health services, such as levels of poverty, infant mortality, low-birth weights, life expectancy, percent or number unserved and underserved; and</w:t>
      </w:r>
    </w:p>
    <w:p w:rsidR="0074428D" w:rsidRDefault="0074428D" w:rsidP="00D60D1D">
      <w:pPr>
        <w:pStyle w:val="ListParagraph"/>
        <w:numPr>
          <w:ilvl w:val="0"/>
          <w:numId w:val="2"/>
        </w:numPr>
        <w:rPr>
          <w:sz w:val="24"/>
          <w:szCs w:val="24"/>
        </w:rPr>
      </w:pPr>
      <w:r>
        <w:rPr>
          <w:sz w:val="24"/>
          <w:szCs w:val="24"/>
        </w:rPr>
        <w:t>Have insufficient training for the providers.</w:t>
      </w:r>
    </w:p>
    <w:p w:rsidR="0074428D" w:rsidRDefault="0074428D" w:rsidP="009A7C59">
      <w:pPr>
        <w:rPr>
          <w:sz w:val="24"/>
          <w:szCs w:val="24"/>
        </w:rPr>
      </w:pPr>
      <w:r>
        <w:rPr>
          <w:sz w:val="24"/>
          <w:szCs w:val="24"/>
        </w:rPr>
        <w:t>The HPSA scoring rubric from the Federal Register weights these indicators as follows, for Primary Care and Dental Care: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8"/>
        <w:gridCol w:w="1260"/>
      </w:tblGrid>
      <w:tr w:rsidR="0074428D">
        <w:tc>
          <w:tcPr>
            <w:tcW w:w="5688" w:type="dxa"/>
          </w:tcPr>
          <w:p w:rsidR="0074428D" w:rsidRPr="005F2502" w:rsidRDefault="0074428D" w:rsidP="009A7C59">
            <w:pPr>
              <w:rPr>
                <w:b/>
                <w:sz w:val="24"/>
                <w:szCs w:val="24"/>
              </w:rPr>
            </w:pPr>
            <w:r w:rsidRPr="005F2502">
              <w:rPr>
                <w:b/>
                <w:sz w:val="24"/>
                <w:szCs w:val="24"/>
              </w:rPr>
              <w:t>Indicator</w:t>
            </w:r>
          </w:p>
        </w:tc>
        <w:tc>
          <w:tcPr>
            <w:tcW w:w="1260" w:type="dxa"/>
          </w:tcPr>
          <w:p w:rsidR="0074428D" w:rsidRPr="005F2502" w:rsidRDefault="0074428D" w:rsidP="005F2502">
            <w:pPr>
              <w:jc w:val="right"/>
              <w:rPr>
                <w:b/>
                <w:sz w:val="24"/>
                <w:szCs w:val="24"/>
              </w:rPr>
            </w:pPr>
            <w:r w:rsidRPr="005F2502">
              <w:rPr>
                <w:b/>
                <w:sz w:val="24"/>
                <w:szCs w:val="24"/>
              </w:rPr>
              <w:t>Weight</w:t>
            </w:r>
          </w:p>
        </w:tc>
      </w:tr>
      <w:tr w:rsidR="0074428D">
        <w:tc>
          <w:tcPr>
            <w:tcW w:w="5688" w:type="dxa"/>
          </w:tcPr>
          <w:p w:rsidR="0074428D" w:rsidRPr="005F2502" w:rsidRDefault="0074428D" w:rsidP="009A7C59">
            <w:pPr>
              <w:rPr>
                <w:sz w:val="24"/>
                <w:szCs w:val="24"/>
              </w:rPr>
            </w:pPr>
            <w:r w:rsidRPr="005F2502">
              <w:rPr>
                <w:sz w:val="24"/>
                <w:szCs w:val="24"/>
              </w:rPr>
              <w:t>Population-to-provider ratio</w:t>
            </w:r>
          </w:p>
        </w:tc>
        <w:tc>
          <w:tcPr>
            <w:tcW w:w="1260" w:type="dxa"/>
          </w:tcPr>
          <w:p w:rsidR="0074428D" w:rsidRPr="005F2502" w:rsidRDefault="0074428D" w:rsidP="005F2502">
            <w:pPr>
              <w:jc w:val="right"/>
              <w:rPr>
                <w:sz w:val="24"/>
                <w:szCs w:val="24"/>
              </w:rPr>
            </w:pPr>
            <w:r w:rsidRPr="005F2502">
              <w:rPr>
                <w:sz w:val="24"/>
                <w:szCs w:val="24"/>
              </w:rPr>
              <w:t>10</w:t>
            </w:r>
          </w:p>
        </w:tc>
      </w:tr>
      <w:tr w:rsidR="0074428D">
        <w:tc>
          <w:tcPr>
            <w:tcW w:w="5688" w:type="dxa"/>
          </w:tcPr>
          <w:p w:rsidR="0074428D" w:rsidRPr="005F2502" w:rsidRDefault="0074428D" w:rsidP="009A7C59">
            <w:pPr>
              <w:rPr>
                <w:sz w:val="24"/>
                <w:szCs w:val="24"/>
              </w:rPr>
            </w:pPr>
            <w:r w:rsidRPr="005F2502">
              <w:rPr>
                <w:sz w:val="24"/>
                <w:szCs w:val="24"/>
              </w:rPr>
              <w:t>Poverty</w:t>
            </w:r>
          </w:p>
        </w:tc>
        <w:tc>
          <w:tcPr>
            <w:tcW w:w="1260" w:type="dxa"/>
          </w:tcPr>
          <w:p w:rsidR="0074428D" w:rsidRPr="005F2502" w:rsidRDefault="0074428D" w:rsidP="005F2502">
            <w:pPr>
              <w:jc w:val="right"/>
              <w:rPr>
                <w:sz w:val="24"/>
                <w:szCs w:val="24"/>
              </w:rPr>
            </w:pPr>
            <w:r w:rsidRPr="005F2502">
              <w:rPr>
                <w:sz w:val="24"/>
                <w:szCs w:val="24"/>
              </w:rPr>
              <w:t>5</w:t>
            </w:r>
          </w:p>
        </w:tc>
      </w:tr>
      <w:tr w:rsidR="0074428D">
        <w:tc>
          <w:tcPr>
            <w:tcW w:w="5688" w:type="dxa"/>
          </w:tcPr>
          <w:p w:rsidR="0074428D" w:rsidRPr="005F2502" w:rsidRDefault="0074428D" w:rsidP="009A7C59">
            <w:pPr>
              <w:rPr>
                <w:sz w:val="24"/>
                <w:szCs w:val="24"/>
              </w:rPr>
            </w:pPr>
            <w:r w:rsidRPr="005F2502">
              <w:rPr>
                <w:sz w:val="24"/>
                <w:szCs w:val="24"/>
              </w:rPr>
              <w:t>Low Birth Weight/Infant Mortality</w:t>
            </w:r>
          </w:p>
        </w:tc>
        <w:tc>
          <w:tcPr>
            <w:tcW w:w="1260" w:type="dxa"/>
          </w:tcPr>
          <w:p w:rsidR="0074428D" w:rsidRPr="005F2502" w:rsidRDefault="0074428D" w:rsidP="005F2502">
            <w:pPr>
              <w:jc w:val="right"/>
              <w:rPr>
                <w:sz w:val="24"/>
                <w:szCs w:val="24"/>
              </w:rPr>
            </w:pPr>
            <w:r w:rsidRPr="005F2502">
              <w:rPr>
                <w:sz w:val="24"/>
                <w:szCs w:val="24"/>
              </w:rPr>
              <w:t>5</w:t>
            </w:r>
          </w:p>
        </w:tc>
      </w:tr>
      <w:tr w:rsidR="0074428D">
        <w:tc>
          <w:tcPr>
            <w:tcW w:w="5688" w:type="dxa"/>
          </w:tcPr>
          <w:p w:rsidR="0074428D" w:rsidRPr="005F2502" w:rsidRDefault="0074428D" w:rsidP="009A7C59">
            <w:pPr>
              <w:rPr>
                <w:sz w:val="24"/>
                <w:szCs w:val="24"/>
              </w:rPr>
            </w:pPr>
            <w:r w:rsidRPr="005F2502">
              <w:rPr>
                <w:sz w:val="24"/>
                <w:szCs w:val="24"/>
              </w:rPr>
              <w:t>Population without fluoridated water</w:t>
            </w:r>
          </w:p>
        </w:tc>
        <w:tc>
          <w:tcPr>
            <w:tcW w:w="1260" w:type="dxa"/>
          </w:tcPr>
          <w:p w:rsidR="0074428D" w:rsidRPr="005F2502" w:rsidRDefault="0074428D" w:rsidP="005F2502">
            <w:pPr>
              <w:jc w:val="right"/>
              <w:rPr>
                <w:sz w:val="24"/>
                <w:szCs w:val="24"/>
              </w:rPr>
            </w:pPr>
            <w:r w:rsidRPr="005F2502">
              <w:rPr>
                <w:sz w:val="24"/>
                <w:szCs w:val="24"/>
              </w:rPr>
              <w:t>1</w:t>
            </w:r>
          </w:p>
        </w:tc>
      </w:tr>
      <w:tr w:rsidR="0074428D">
        <w:tc>
          <w:tcPr>
            <w:tcW w:w="5688" w:type="dxa"/>
          </w:tcPr>
          <w:p w:rsidR="0074428D" w:rsidRPr="005F2502" w:rsidRDefault="0074428D" w:rsidP="009A7C59">
            <w:pPr>
              <w:rPr>
                <w:sz w:val="24"/>
                <w:szCs w:val="24"/>
              </w:rPr>
            </w:pPr>
            <w:r w:rsidRPr="005F2502">
              <w:rPr>
                <w:sz w:val="24"/>
                <w:szCs w:val="24"/>
              </w:rPr>
              <w:t>Travel Time/Distance</w:t>
            </w:r>
          </w:p>
        </w:tc>
        <w:tc>
          <w:tcPr>
            <w:tcW w:w="1260" w:type="dxa"/>
          </w:tcPr>
          <w:p w:rsidR="0074428D" w:rsidRPr="005F2502" w:rsidRDefault="0074428D" w:rsidP="005F2502">
            <w:pPr>
              <w:jc w:val="right"/>
              <w:rPr>
                <w:sz w:val="24"/>
                <w:szCs w:val="24"/>
              </w:rPr>
            </w:pPr>
            <w:r w:rsidRPr="005F2502">
              <w:rPr>
                <w:sz w:val="24"/>
                <w:szCs w:val="24"/>
              </w:rPr>
              <w:t>5</w:t>
            </w:r>
          </w:p>
        </w:tc>
      </w:tr>
    </w:tbl>
    <w:p w:rsidR="0074428D" w:rsidRDefault="0074428D" w:rsidP="009A7C59">
      <w:pPr>
        <w:rPr>
          <w:sz w:val="24"/>
          <w:szCs w:val="24"/>
        </w:rPr>
      </w:pPr>
    </w:p>
    <w:p w:rsidR="0074428D" w:rsidRDefault="0074428D" w:rsidP="009A7C59">
      <w:pPr>
        <w:rPr>
          <w:sz w:val="24"/>
          <w:szCs w:val="24"/>
        </w:rPr>
      </w:pPr>
      <w:r>
        <w:rPr>
          <w:sz w:val="24"/>
          <w:szCs w:val="24"/>
        </w:rPr>
        <w:t>Because the population-to-provider ratio is weighted so heavily, collecting, maintaining and analyzing this data is a key function of the PCO.  Although health care providers must be licensed in every state, most states do not require providers to submit information about their practices that meets the needs of the designation process, including hours of practice, payer mix, and whether they are accepting new patients.  Consequently, extensive personnel resources are leveraged through the PCO to manually survey providers, effectively implementing a continual needs assessment for this principal indicator, based on rational service areas for health care access.</w:t>
      </w:r>
    </w:p>
    <w:p w:rsidR="0074428D" w:rsidRPr="000E5D4D" w:rsidRDefault="0074428D" w:rsidP="009A7C59">
      <w:pPr>
        <w:rPr>
          <w:sz w:val="24"/>
          <w:szCs w:val="24"/>
          <w:u w:val="single"/>
        </w:rPr>
      </w:pPr>
      <w:r w:rsidRPr="000E5D4D">
        <w:rPr>
          <w:sz w:val="24"/>
          <w:szCs w:val="24"/>
          <w:u w:val="single"/>
        </w:rPr>
        <w:t>Primary Care Providers</w:t>
      </w:r>
    </w:p>
    <w:p w:rsidR="0074428D" w:rsidRPr="006D357C" w:rsidRDefault="0074428D" w:rsidP="009A7C59">
      <w:pPr>
        <w:rPr>
          <w:sz w:val="24"/>
          <w:szCs w:val="24"/>
        </w:rPr>
      </w:pPr>
      <w:r w:rsidRPr="006D357C">
        <w:rPr>
          <w:sz w:val="24"/>
          <w:szCs w:val="24"/>
        </w:rPr>
        <w:t>According to the 2015 State Physician Workforce Data Book</w:t>
      </w:r>
      <w:r>
        <w:rPr>
          <w:rStyle w:val="FootnoteReference"/>
          <w:sz w:val="24"/>
          <w:szCs w:val="24"/>
        </w:rPr>
        <w:footnoteReference w:id="38"/>
      </w:r>
      <w:r w:rsidRPr="006D357C">
        <w:rPr>
          <w:sz w:val="24"/>
          <w:szCs w:val="24"/>
        </w:rPr>
        <w:t xml:space="preserve">, </w:t>
      </w:r>
      <w:smartTag w:uri="urn:schemas-microsoft-com:office:smarttags" w:element="place">
        <w:smartTag w:uri="urn:schemas-microsoft-com:office:smarttags" w:element="State">
          <w:r w:rsidRPr="006D357C">
            <w:rPr>
              <w:sz w:val="24"/>
              <w:szCs w:val="24"/>
            </w:rPr>
            <w:t>Nevada</w:t>
          </w:r>
        </w:smartTag>
      </w:smartTag>
      <w:r w:rsidRPr="006D357C">
        <w:rPr>
          <w:sz w:val="24"/>
          <w:szCs w:val="24"/>
        </w:rPr>
        <w:t xml:space="preserve"> ranks 49</w:t>
      </w:r>
      <w:r w:rsidRPr="006D357C">
        <w:rPr>
          <w:sz w:val="24"/>
          <w:szCs w:val="24"/>
          <w:vertAlign w:val="superscript"/>
        </w:rPr>
        <w:t>th</w:t>
      </w:r>
      <w:r w:rsidRPr="006D357C">
        <w:rPr>
          <w:sz w:val="24"/>
          <w:szCs w:val="24"/>
        </w:rPr>
        <w:t xml:space="preserve"> out of the 50 states for </w:t>
      </w:r>
      <w:r w:rsidRPr="006D357C">
        <w:rPr>
          <w:i/>
          <w:sz w:val="24"/>
          <w:szCs w:val="24"/>
        </w:rPr>
        <w:t xml:space="preserve">Active Patient Care Physicians per 100,000 Population, </w:t>
      </w:r>
      <w:r w:rsidRPr="006D357C">
        <w:rPr>
          <w:sz w:val="24"/>
          <w:szCs w:val="24"/>
        </w:rPr>
        <w:t>gaining one rank to 48</w:t>
      </w:r>
      <w:r w:rsidRPr="006D357C">
        <w:rPr>
          <w:sz w:val="24"/>
          <w:szCs w:val="24"/>
          <w:vertAlign w:val="superscript"/>
        </w:rPr>
        <w:t>th</w:t>
      </w:r>
      <w:r w:rsidRPr="006D357C">
        <w:rPr>
          <w:sz w:val="24"/>
          <w:szCs w:val="24"/>
        </w:rPr>
        <w:t xml:space="preserve"> for </w:t>
      </w:r>
      <w:r w:rsidRPr="006D357C">
        <w:rPr>
          <w:i/>
          <w:sz w:val="24"/>
          <w:szCs w:val="24"/>
        </w:rPr>
        <w:t>Active Patient Care Primary Care Physicians</w:t>
      </w:r>
      <w:r w:rsidRPr="006D357C">
        <w:rPr>
          <w:sz w:val="24"/>
          <w:szCs w:val="24"/>
        </w:rPr>
        <w:t>, but fall</w:t>
      </w:r>
      <w:r>
        <w:rPr>
          <w:sz w:val="24"/>
          <w:szCs w:val="24"/>
        </w:rPr>
        <w:t>ing</w:t>
      </w:r>
      <w:r w:rsidRPr="006D357C">
        <w:rPr>
          <w:sz w:val="24"/>
          <w:szCs w:val="24"/>
        </w:rPr>
        <w:t xml:space="preserve"> to 50</w:t>
      </w:r>
      <w:r w:rsidRPr="006D357C">
        <w:rPr>
          <w:sz w:val="24"/>
          <w:szCs w:val="24"/>
          <w:vertAlign w:val="superscript"/>
        </w:rPr>
        <w:t>th</w:t>
      </w:r>
      <w:r w:rsidRPr="006D357C">
        <w:rPr>
          <w:sz w:val="24"/>
          <w:szCs w:val="24"/>
        </w:rPr>
        <w:t xml:space="preserve"> for </w:t>
      </w:r>
      <w:r w:rsidRPr="006D357C">
        <w:rPr>
          <w:i/>
          <w:sz w:val="24"/>
          <w:szCs w:val="24"/>
        </w:rPr>
        <w:t>Active Patient Care General Surgeons.</w:t>
      </w:r>
      <w:r w:rsidRPr="006D357C">
        <w:rPr>
          <w:sz w:val="24"/>
          <w:szCs w:val="24"/>
        </w:rPr>
        <w:t xml:space="preserve">  </w:t>
      </w:r>
    </w:p>
    <w:p w:rsidR="0074428D" w:rsidRPr="006D357C" w:rsidRDefault="0074428D" w:rsidP="009A7C59">
      <w:pPr>
        <w:rPr>
          <w:sz w:val="24"/>
          <w:szCs w:val="24"/>
        </w:rPr>
      </w:pPr>
      <w:r w:rsidRPr="006D357C">
        <w:rPr>
          <w:sz w:val="24"/>
          <w:szCs w:val="24"/>
        </w:rPr>
        <w:t>The high need for primary care physicians is also reflected in Nevada’s health professional shortage area designations, as shown in the following table</w:t>
      </w:r>
      <w:r>
        <w:rPr>
          <w:sz w:val="24"/>
          <w:szCs w:val="24"/>
        </w:rPr>
        <w:t xml:space="preserve"> and map below</w:t>
      </w:r>
      <w:r w:rsidRPr="006D357C">
        <w:rPr>
          <w:sz w:val="24"/>
          <w:szCs w:val="24"/>
        </w:rPr>
        <w:t>:</w:t>
      </w:r>
    </w:p>
    <w:tbl>
      <w:tblPr>
        <w:tblW w:w="9383" w:type="dxa"/>
        <w:tblInd w:w="-275" w:type="dxa"/>
        <w:tblLayout w:type="fixed"/>
        <w:tblLook w:val="04A0" w:firstRow="1" w:lastRow="0" w:firstColumn="1" w:lastColumn="0" w:noHBand="0" w:noVBand="1"/>
      </w:tblPr>
      <w:tblGrid>
        <w:gridCol w:w="3173"/>
        <w:gridCol w:w="1350"/>
        <w:gridCol w:w="1170"/>
        <w:gridCol w:w="1440"/>
        <w:gridCol w:w="1440"/>
        <w:gridCol w:w="810"/>
      </w:tblGrid>
      <w:tr w:rsidR="0074428D" w:rsidRPr="007505DD">
        <w:trPr>
          <w:trHeight w:val="399"/>
        </w:trPr>
        <w:tc>
          <w:tcPr>
            <w:tcW w:w="9383" w:type="dxa"/>
            <w:gridSpan w:val="6"/>
            <w:tcBorders>
              <w:top w:val="single" w:sz="4" w:space="0" w:color="auto"/>
              <w:left w:val="single" w:sz="4" w:space="0" w:color="auto"/>
              <w:bottom w:val="single" w:sz="4" w:space="0" w:color="auto"/>
              <w:right w:val="single" w:sz="4" w:space="0" w:color="auto"/>
            </w:tcBorders>
            <w:vAlign w:val="bottom"/>
          </w:tcPr>
          <w:p w:rsidR="0074428D" w:rsidRPr="007505DD" w:rsidRDefault="0074428D" w:rsidP="00A57CBE">
            <w:pPr>
              <w:rPr>
                <w:b/>
                <w:bCs/>
                <w:color w:val="000000"/>
                <w:sz w:val="24"/>
                <w:szCs w:val="24"/>
              </w:rPr>
            </w:pPr>
            <w:smartTag w:uri="urn:schemas-microsoft-com:office:smarttags" w:element="place">
              <w:smartTag w:uri="urn:schemas-microsoft-com:office:smarttags" w:element="State">
                <w:r w:rsidRPr="007505DD">
                  <w:rPr>
                    <w:b/>
                    <w:bCs/>
                    <w:color w:val="000000"/>
                    <w:sz w:val="24"/>
                    <w:szCs w:val="24"/>
                  </w:rPr>
                  <w:lastRenderedPageBreak/>
                  <w:t>Nevada</w:t>
                </w:r>
              </w:smartTag>
            </w:smartTag>
            <w:r w:rsidRPr="007505DD">
              <w:rPr>
                <w:b/>
                <w:bCs/>
                <w:color w:val="000000"/>
                <w:sz w:val="24"/>
                <w:szCs w:val="24"/>
              </w:rPr>
              <w:t xml:space="preserve"> Primary Care Provider</w:t>
            </w:r>
            <w:r w:rsidRPr="007505DD">
              <w:rPr>
                <w:b/>
                <w:bCs/>
                <w:color w:val="000000"/>
                <w:sz w:val="24"/>
                <w:szCs w:val="24"/>
                <w:vertAlign w:val="superscript"/>
              </w:rPr>
              <w:t>1</w:t>
            </w:r>
            <w:r w:rsidRPr="007505DD">
              <w:rPr>
                <w:b/>
                <w:bCs/>
                <w:color w:val="000000"/>
                <w:sz w:val="24"/>
                <w:szCs w:val="24"/>
              </w:rPr>
              <w:t xml:space="preserve"> Shortages</w:t>
            </w:r>
          </w:p>
        </w:tc>
      </w:tr>
      <w:tr w:rsidR="0074428D" w:rsidRPr="007505DD">
        <w:trPr>
          <w:trHeight w:val="1028"/>
        </w:trPr>
        <w:tc>
          <w:tcPr>
            <w:tcW w:w="3173" w:type="dxa"/>
            <w:tcBorders>
              <w:top w:val="single" w:sz="4" w:space="0" w:color="auto"/>
              <w:left w:val="single" w:sz="4" w:space="0" w:color="auto"/>
              <w:bottom w:val="single" w:sz="4" w:space="0" w:color="auto"/>
              <w:right w:val="single" w:sz="4" w:space="0" w:color="auto"/>
            </w:tcBorders>
            <w:vAlign w:val="bottom"/>
          </w:tcPr>
          <w:p w:rsidR="0074428D" w:rsidRPr="007505DD" w:rsidRDefault="0074428D" w:rsidP="00A57CBE">
            <w:pPr>
              <w:rPr>
                <w:b/>
                <w:bCs/>
                <w:color w:val="000000"/>
                <w:sz w:val="24"/>
                <w:szCs w:val="24"/>
              </w:rPr>
            </w:pPr>
            <w:r w:rsidRPr="007505DD">
              <w:rPr>
                <w:b/>
                <w:bCs/>
                <w:color w:val="000000"/>
                <w:sz w:val="24"/>
                <w:szCs w:val="24"/>
              </w:rPr>
              <w:t>Health Professional Shortage Area (HPSA) Name</w:t>
            </w:r>
          </w:p>
        </w:tc>
        <w:tc>
          <w:tcPr>
            <w:tcW w:w="1350" w:type="dxa"/>
            <w:tcBorders>
              <w:top w:val="single" w:sz="4" w:space="0" w:color="auto"/>
              <w:left w:val="nil"/>
              <w:bottom w:val="single" w:sz="4" w:space="0" w:color="auto"/>
              <w:right w:val="single" w:sz="4" w:space="0" w:color="auto"/>
            </w:tcBorders>
            <w:vAlign w:val="bottom"/>
          </w:tcPr>
          <w:p w:rsidR="0074428D" w:rsidRPr="007505DD" w:rsidRDefault="0074428D" w:rsidP="0070423A">
            <w:pPr>
              <w:jc w:val="right"/>
              <w:rPr>
                <w:b/>
                <w:bCs/>
                <w:color w:val="000000"/>
                <w:sz w:val="24"/>
                <w:szCs w:val="24"/>
              </w:rPr>
            </w:pPr>
            <w:r w:rsidRPr="007505DD">
              <w:rPr>
                <w:b/>
                <w:bCs/>
                <w:color w:val="000000"/>
                <w:sz w:val="24"/>
                <w:szCs w:val="24"/>
              </w:rPr>
              <w:t># of Provider FTEs</w:t>
            </w:r>
            <w:r w:rsidRPr="007505DD">
              <w:rPr>
                <w:b/>
                <w:bCs/>
                <w:color w:val="000000"/>
                <w:sz w:val="24"/>
                <w:szCs w:val="24"/>
                <w:vertAlign w:val="superscript"/>
              </w:rPr>
              <w:t>2</w:t>
            </w:r>
            <w:r w:rsidRPr="007505DD">
              <w:rPr>
                <w:b/>
                <w:bCs/>
                <w:color w:val="000000"/>
                <w:sz w:val="24"/>
                <w:szCs w:val="24"/>
              </w:rPr>
              <w:t xml:space="preserve"> Short</w:t>
            </w:r>
          </w:p>
        </w:tc>
        <w:tc>
          <w:tcPr>
            <w:tcW w:w="1170" w:type="dxa"/>
            <w:tcBorders>
              <w:top w:val="single" w:sz="4" w:space="0" w:color="auto"/>
              <w:left w:val="nil"/>
              <w:bottom w:val="single" w:sz="4" w:space="0" w:color="auto"/>
              <w:right w:val="single" w:sz="4" w:space="0" w:color="auto"/>
            </w:tcBorders>
            <w:vAlign w:val="bottom"/>
          </w:tcPr>
          <w:p w:rsidR="0074428D" w:rsidRPr="007505DD" w:rsidRDefault="0074428D" w:rsidP="0070423A">
            <w:pPr>
              <w:jc w:val="right"/>
              <w:rPr>
                <w:b/>
                <w:bCs/>
                <w:color w:val="000000"/>
                <w:sz w:val="24"/>
                <w:szCs w:val="24"/>
              </w:rPr>
            </w:pPr>
            <w:r w:rsidRPr="007505DD">
              <w:rPr>
                <w:b/>
                <w:bCs/>
                <w:color w:val="000000"/>
                <w:sz w:val="24"/>
                <w:szCs w:val="24"/>
              </w:rPr>
              <w:t xml:space="preserve">HPSA Provider </w:t>
            </w:r>
            <w:smartTag w:uri="urn:schemas-microsoft-com:office:smarttags" w:element="stockticker">
              <w:r w:rsidRPr="007505DD">
                <w:rPr>
                  <w:b/>
                  <w:bCs/>
                  <w:color w:val="000000"/>
                  <w:sz w:val="24"/>
                  <w:szCs w:val="24"/>
                </w:rPr>
                <w:t>FTE</w:t>
              </w:r>
            </w:smartTag>
          </w:p>
        </w:tc>
        <w:tc>
          <w:tcPr>
            <w:tcW w:w="1440" w:type="dxa"/>
            <w:tcBorders>
              <w:top w:val="single" w:sz="4" w:space="0" w:color="auto"/>
              <w:left w:val="nil"/>
              <w:bottom w:val="single" w:sz="4" w:space="0" w:color="auto"/>
              <w:right w:val="single" w:sz="4" w:space="0" w:color="auto"/>
            </w:tcBorders>
            <w:vAlign w:val="bottom"/>
          </w:tcPr>
          <w:p w:rsidR="0074428D" w:rsidRPr="007505DD" w:rsidRDefault="0074428D" w:rsidP="0070423A">
            <w:pPr>
              <w:jc w:val="right"/>
              <w:rPr>
                <w:b/>
                <w:bCs/>
                <w:color w:val="000000"/>
                <w:sz w:val="24"/>
                <w:szCs w:val="24"/>
              </w:rPr>
            </w:pPr>
            <w:r w:rsidRPr="007505DD">
              <w:rPr>
                <w:b/>
                <w:bCs/>
                <w:color w:val="000000"/>
                <w:sz w:val="24"/>
                <w:szCs w:val="24"/>
              </w:rPr>
              <w:t>HPSA Designation Population</w:t>
            </w:r>
          </w:p>
        </w:tc>
        <w:tc>
          <w:tcPr>
            <w:tcW w:w="1440" w:type="dxa"/>
            <w:tcBorders>
              <w:top w:val="single" w:sz="4" w:space="0" w:color="auto"/>
              <w:left w:val="nil"/>
              <w:bottom w:val="single" w:sz="4" w:space="0" w:color="auto"/>
              <w:right w:val="single" w:sz="4" w:space="0" w:color="auto"/>
            </w:tcBorders>
            <w:vAlign w:val="bottom"/>
          </w:tcPr>
          <w:p w:rsidR="0074428D" w:rsidRPr="007505DD" w:rsidRDefault="0074428D" w:rsidP="0070423A">
            <w:pPr>
              <w:jc w:val="right"/>
              <w:rPr>
                <w:b/>
                <w:bCs/>
                <w:color w:val="000000"/>
                <w:sz w:val="24"/>
                <w:szCs w:val="24"/>
              </w:rPr>
            </w:pPr>
            <w:r w:rsidRPr="007505DD">
              <w:rPr>
                <w:b/>
                <w:bCs/>
                <w:color w:val="000000"/>
                <w:sz w:val="24"/>
                <w:szCs w:val="24"/>
              </w:rPr>
              <w:t>Population to Provider Ratio</w:t>
            </w:r>
          </w:p>
        </w:tc>
        <w:tc>
          <w:tcPr>
            <w:tcW w:w="810" w:type="dxa"/>
            <w:tcBorders>
              <w:top w:val="single" w:sz="4" w:space="0" w:color="auto"/>
              <w:left w:val="nil"/>
              <w:bottom w:val="single" w:sz="4" w:space="0" w:color="auto"/>
              <w:right w:val="single" w:sz="4" w:space="0" w:color="auto"/>
            </w:tcBorders>
            <w:vAlign w:val="bottom"/>
          </w:tcPr>
          <w:p w:rsidR="0074428D" w:rsidRPr="007505DD" w:rsidRDefault="0074428D" w:rsidP="0070423A">
            <w:pPr>
              <w:jc w:val="right"/>
              <w:rPr>
                <w:b/>
                <w:bCs/>
                <w:color w:val="000000"/>
                <w:sz w:val="24"/>
                <w:szCs w:val="24"/>
              </w:rPr>
            </w:pPr>
            <w:r w:rsidRPr="007505DD">
              <w:rPr>
                <w:b/>
                <w:bCs/>
                <w:color w:val="000000"/>
                <w:sz w:val="24"/>
                <w:szCs w:val="24"/>
              </w:rPr>
              <w:t>HPSA Score</w:t>
            </w:r>
          </w:p>
        </w:tc>
      </w:tr>
      <w:tr w:rsidR="0074428D" w:rsidRPr="007505DD">
        <w:trPr>
          <w:trHeight w:val="490"/>
        </w:trPr>
        <w:tc>
          <w:tcPr>
            <w:tcW w:w="3173" w:type="dxa"/>
            <w:tcBorders>
              <w:top w:val="nil"/>
              <w:left w:val="single" w:sz="4" w:space="0" w:color="auto"/>
              <w:bottom w:val="single" w:sz="4" w:space="0" w:color="auto"/>
              <w:right w:val="single" w:sz="4" w:space="0" w:color="auto"/>
            </w:tcBorders>
            <w:vAlign w:val="bottom"/>
          </w:tcPr>
          <w:p w:rsidR="0074428D" w:rsidRPr="007505DD" w:rsidRDefault="0074428D" w:rsidP="00A57CBE">
            <w:pPr>
              <w:rPr>
                <w:color w:val="000000"/>
                <w:sz w:val="24"/>
                <w:szCs w:val="24"/>
              </w:rPr>
            </w:pPr>
            <w:smartTag w:uri="urn:schemas-microsoft-com:office:smarttags" w:element="PlaceName">
              <w:smartTag w:uri="urn:schemas-microsoft-com:office:smarttags" w:element="place">
                <w:r w:rsidRPr="007505DD">
                  <w:rPr>
                    <w:color w:val="000000"/>
                    <w:sz w:val="24"/>
                    <w:szCs w:val="24"/>
                  </w:rPr>
                  <w:t>Douglas</w:t>
                </w:r>
              </w:smartTag>
              <w:r w:rsidRPr="007505DD">
                <w:rPr>
                  <w:color w:val="000000"/>
                  <w:sz w:val="24"/>
                  <w:szCs w:val="24"/>
                </w:rPr>
                <w:t xml:space="preserve"> </w:t>
              </w:r>
              <w:smartTag w:uri="urn:schemas-microsoft-com:office:smarttags" w:element="PlaceName">
                <w:r w:rsidRPr="007505DD">
                  <w:rPr>
                    <w:color w:val="000000"/>
                    <w:sz w:val="24"/>
                    <w:szCs w:val="24"/>
                  </w:rPr>
                  <w:t>County</w:t>
                </w:r>
              </w:smartTag>
            </w:smartTag>
            <w:r w:rsidRPr="007505DD">
              <w:rPr>
                <w:color w:val="000000"/>
                <w:sz w:val="24"/>
                <w:szCs w:val="24"/>
              </w:rPr>
              <w:t xml:space="preserve"> - Topaz Area</w:t>
            </w:r>
          </w:p>
        </w:tc>
        <w:tc>
          <w:tcPr>
            <w:tcW w:w="135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0.52</w:t>
            </w:r>
          </w:p>
        </w:tc>
        <w:tc>
          <w:tcPr>
            <w:tcW w:w="117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0</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1827</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1827:0</w:t>
            </w:r>
          </w:p>
        </w:tc>
        <w:tc>
          <w:tcPr>
            <w:tcW w:w="81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8</w:t>
            </w:r>
          </w:p>
        </w:tc>
      </w:tr>
      <w:tr w:rsidR="0074428D" w:rsidRPr="007505DD">
        <w:trPr>
          <w:trHeight w:val="418"/>
        </w:trPr>
        <w:tc>
          <w:tcPr>
            <w:tcW w:w="3173" w:type="dxa"/>
            <w:tcBorders>
              <w:top w:val="nil"/>
              <w:left w:val="single" w:sz="4" w:space="0" w:color="auto"/>
              <w:bottom w:val="single" w:sz="4" w:space="0" w:color="auto"/>
              <w:right w:val="single" w:sz="4" w:space="0" w:color="auto"/>
            </w:tcBorders>
            <w:vAlign w:val="bottom"/>
          </w:tcPr>
          <w:p w:rsidR="0074428D" w:rsidRPr="007505DD" w:rsidRDefault="0074428D" w:rsidP="00A57CBE">
            <w:pPr>
              <w:rPr>
                <w:color w:val="000000"/>
                <w:sz w:val="24"/>
                <w:szCs w:val="24"/>
              </w:rPr>
            </w:pPr>
            <w:r w:rsidRPr="007505DD">
              <w:rPr>
                <w:color w:val="000000"/>
                <w:sz w:val="24"/>
                <w:szCs w:val="24"/>
              </w:rPr>
              <w:t>Eastern Elko Service Area</w:t>
            </w:r>
          </w:p>
        </w:tc>
        <w:tc>
          <w:tcPr>
            <w:tcW w:w="135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1.64</w:t>
            </w:r>
          </w:p>
        </w:tc>
        <w:tc>
          <w:tcPr>
            <w:tcW w:w="117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0.5</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7491</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14982:1</w:t>
            </w:r>
          </w:p>
        </w:tc>
        <w:tc>
          <w:tcPr>
            <w:tcW w:w="81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16</w:t>
            </w:r>
          </w:p>
        </w:tc>
      </w:tr>
      <w:tr w:rsidR="0074428D" w:rsidRPr="007505DD">
        <w:trPr>
          <w:trHeight w:val="302"/>
        </w:trPr>
        <w:tc>
          <w:tcPr>
            <w:tcW w:w="3173" w:type="dxa"/>
            <w:tcBorders>
              <w:top w:val="nil"/>
              <w:left w:val="single" w:sz="4" w:space="0" w:color="auto"/>
              <w:bottom w:val="single" w:sz="4" w:space="0" w:color="auto"/>
              <w:right w:val="single" w:sz="4" w:space="0" w:color="auto"/>
            </w:tcBorders>
            <w:vAlign w:val="bottom"/>
          </w:tcPr>
          <w:p w:rsidR="0074428D" w:rsidRPr="007505DD" w:rsidRDefault="0074428D" w:rsidP="00A57CBE">
            <w:pPr>
              <w:rPr>
                <w:color w:val="000000"/>
                <w:sz w:val="24"/>
                <w:szCs w:val="24"/>
              </w:rPr>
            </w:pPr>
            <w:smartTag w:uri="urn:schemas-microsoft-com:office:smarttags" w:element="PlaceName">
              <w:smartTag w:uri="urn:schemas-microsoft-com:office:smarttags" w:element="place">
                <w:r w:rsidRPr="007505DD">
                  <w:rPr>
                    <w:color w:val="000000"/>
                    <w:sz w:val="24"/>
                    <w:szCs w:val="24"/>
                  </w:rPr>
                  <w:t>Esmeralda</w:t>
                </w:r>
              </w:smartTag>
              <w:r w:rsidRPr="007505DD">
                <w:rPr>
                  <w:color w:val="000000"/>
                  <w:sz w:val="24"/>
                  <w:szCs w:val="24"/>
                </w:rPr>
                <w:t xml:space="preserve"> </w:t>
              </w:r>
              <w:smartTag w:uri="urn:schemas-microsoft-com:office:smarttags" w:element="PlaceName">
                <w:r w:rsidRPr="007505DD">
                  <w:rPr>
                    <w:color w:val="000000"/>
                    <w:sz w:val="24"/>
                    <w:szCs w:val="24"/>
                  </w:rPr>
                  <w:t>County</w:t>
                </w:r>
              </w:smartTag>
            </w:smartTag>
          </w:p>
        </w:tc>
        <w:tc>
          <w:tcPr>
            <w:tcW w:w="135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0.26</w:t>
            </w:r>
          </w:p>
        </w:tc>
        <w:tc>
          <w:tcPr>
            <w:tcW w:w="117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0</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892</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892:0</w:t>
            </w:r>
          </w:p>
        </w:tc>
        <w:tc>
          <w:tcPr>
            <w:tcW w:w="81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7</w:t>
            </w:r>
          </w:p>
        </w:tc>
      </w:tr>
      <w:tr w:rsidR="0074428D" w:rsidRPr="007505DD">
        <w:trPr>
          <w:trHeight w:val="302"/>
        </w:trPr>
        <w:tc>
          <w:tcPr>
            <w:tcW w:w="3173" w:type="dxa"/>
            <w:tcBorders>
              <w:top w:val="nil"/>
              <w:left w:val="single" w:sz="4" w:space="0" w:color="auto"/>
              <w:bottom w:val="single" w:sz="4" w:space="0" w:color="auto"/>
              <w:right w:val="single" w:sz="4" w:space="0" w:color="auto"/>
            </w:tcBorders>
            <w:vAlign w:val="bottom"/>
          </w:tcPr>
          <w:p w:rsidR="0074428D" w:rsidRPr="007505DD" w:rsidRDefault="0074428D" w:rsidP="00A57CBE">
            <w:pPr>
              <w:rPr>
                <w:color w:val="000000"/>
                <w:sz w:val="24"/>
                <w:szCs w:val="24"/>
              </w:rPr>
            </w:pPr>
            <w:smartTag w:uri="urn:schemas-microsoft-com:office:smarttags" w:element="PlaceName">
              <w:smartTag w:uri="urn:schemas-microsoft-com:office:smarttags" w:element="place">
                <w:r w:rsidRPr="007505DD">
                  <w:rPr>
                    <w:color w:val="000000"/>
                    <w:sz w:val="24"/>
                    <w:szCs w:val="24"/>
                  </w:rPr>
                  <w:t>Eureka</w:t>
                </w:r>
              </w:smartTag>
              <w:r w:rsidRPr="007505DD">
                <w:rPr>
                  <w:color w:val="000000"/>
                  <w:sz w:val="24"/>
                  <w:szCs w:val="24"/>
                </w:rPr>
                <w:t xml:space="preserve"> </w:t>
              </w:r>
              <w:smartTag w:uri="urn:schemas-microsoft-com:office:smarttags" w:element="PlaceType">
                <w:r w:rsidRPr="007505DD">
                  <w:rPr>
                    <w:color w:val="000000"/>
                    <w:sz w:val="24"/>
                    <w:szCs w:val="24"/>
                  </w:rPr>
                  <w:t>County</w:t>
                </w:r>
              </w:smartTag>
            </w:smartTag>
          </w:p>
        </w:tc>
        <w:tc>
          <w:tcPr>
            <w:tcW w:w="135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0.49</w:t>
            </w:r>
          </w:p>
        </w:tc>
        <w:tc>
          <w:tcPr>
            <w:tcW w:w="117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0</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1724</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1724:0</w:t>
            </w:r>
          </w:p>
        </w:tc>
        <w:tc>
          <w:tcPr>
            <w:tcW w:w="81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12</w:t>
            </w:r>
          </w:p>
        </w:tc>
      </w:tr>
      <w:tr w:rsidR="0074428D" w:rsidRPr="007505DD">
        <w:trPr>
          <w:trHeight w:val="302"/>
        </w:trPr>
        <w:tc>
          <w:tcPr>
            <w:tcW w:w="3173" w:type="dxa"/>
            <w:tcBorders>
              <w:top w:val="nil"/>
              <w:left w:val="single" w:sz="4" w:space="0" w:color="auto"/>
              <w:bottom w:val="single" w:sz="4" w:space="0" w:color="auto"/>
              <w:right w:val="single" w:sz="4" w:space="0" w:color="auto"/>
            </w:tcBorders>
            <w:vAlign w:val="bottom"/>
          </w:tcPr>
          <w:p w:rsidR="0074428D" w:rsidRPr="007505DD" w:rsidRDefault="0074428D" w:rsidP="00A57CBE">
            <w:pPr>
              <w:rPr>
                <w:color w:val="000000"/>
                <w:sz w:val="24"/>
                <w:szCs w:val="24"/>
              </w:rPr>
            </w:pPr>
            <w:smartTag w:uri="urn:schemas-microsoft-com:office:smarttags" w:element="PlaceName">
              <w:smartTag w:uri="urn:schemas-microsoft-com:office:smarttags" w:element="place">
                <w:r w:rsidRPr="007505DD">
                  <w:rPr>
                    <w:color w:val="000000"/>
                    <w:sz w:val="24"/>
                    <w:szCs w:val="24"/>
                  </w:rPr>
                  <w:t>Incline</w:t>
                </w:r>
              </w:smartTag>
              <w:r w:rsidRPr="007505DD">
                <w:rPr>
                  <w:color w:val="000000"/>
                  <w:sz w:val="24"/>
                  <w:szCs w:val="24"/>
                </w:rPr>
                <w:t xml:space="preserve"> </w:t>
              </w:r>
              <w:smartTag w:uri="urn:schemas-microsoft-com:office:smarttags" w:element="PlaceType">
                <w:r w:rsidRPr="007505DD">
                  <w:rPr>
                    <w:color w:val="000000"/>
                    <w:sz w:val="24"/>
                    <w:szCs w:val="24"/>
                  </w:rPr>
                  <w:t>Village</w:t>
                </w:r>
              </w:smartTag>
            </w:smartTag>
          </w:p>
        </w:tc>
        <w:tc>
          <w:tcPr>
            <w:tcW w:w="135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0.14</w:t>
            </w:r>
          </w:p>
        </w:tc>
        <w:tc>
          <w:tcPr>
            <w:tcW w:w="117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2.8</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10,278</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3671:1</w:t>
            </w:r>
          </w:p>
        </w:tc>
        <w:tc>
          <w:tcPr>
            <w:tcW w:w="81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7</w:t>
            </w:r>
          </w:p>
        </w:tc>
      </w:tr>
      <w:tr w:rsidR="0074428D" w:rsidRPr="007505DD">
        <w:trPr>
          <w:trHeight w:val="302"/>
        </w:trPr>
        <w:tc>
          <w:tcPr>
            <w:tcW w:w="3173" w:type="dxa"/>
            <w:tcBorders>
              <w:top w:val="nil"/>
              <w:left w:val="single" w:sz="4" w:space="0" w:color="auto"/>
              <w:bottom w:val="single" w:sz="4" w:space="0" w:color="auto"/>
              <w:right w:val="single" w:sz="4" w:space="0" w:color="auto"/>
            </w:tcBorders>
            <w:vAlign w:val="bottom"/>
          </w:tcPr>
          <w:p w:rsidR="0074428D" w:rsidRPr="007505DD" w:rsidRDefault="0074428D" w:rsidP="00A57CBE">
            <w:pPr>
              <w:rPr>
                <w:color w:val="000000"/>
                <w:sz w:val="24"/>
                <w:szCs w:val="24"/>
              </w:rPr>
            </w:pPr>
            <w:r w:rsidRPr="007505DD">
              <w:rPr>
                <w:color w:val="000000"/>
                <w:sz w:val="24"/>
                <w:szCs w:val="24"/>
              </w:rPr>
              <w:t>Indian Springs</w:t>
            </w:r>
          </w:p>
        </w:tc>
        <w:tc>
          <w:tcPr>
            <w:tcW w:w="135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2.2</w:t>
            </w:r>
          </w:p>
        </w:tc>
        <w:tc>
          <w:tcPr>
            <w:tcW w:w="117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11,204</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11204:1</w:t>
            </w:r>
          </w:p>
        </w:tc>
        <w:tc>
          <w:tcPr>
            <w:tcW w:w="81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14</w:t>
            </w:r>
          </w:p>
        </w:tc>
      </w:tr>
      <w:tr w:rsidR="0074428D" w:rsidRPr="007505DD">
        <w:trPr>
          <w:trHeight w:val="302"/>
        </w:trPr>
        <w:tc>
          <w:tcPr>
            <w:tcW w:w="3173" w:type="dxa"/>
            <w:tcBorders>
              <w:top w:val="nil"/>
              <w:left w:val="single" w:sz="4" w:space="0" w:color="auto"/>
              <w:bottom w:val="single" w:sz="4" w:space="0" w:color="auto"/>
              <w:right w:val="single" w:sz="4" w:space="0" w:color="auto"/>
            </w:tcBorders>
            <w:vAlign w:val="bottom"/>
          </w:tcPr>
          <w:p w:rsidR="0074428D" w:rsidRPr="007505DD" w:rsidRDefault="0074428D" w:rsidP="00A57CBE">
            <w:pPr>
              <w:rPr>
                <w:color w:val="000000"/>
                <w:sz w:val="24"/>
                <w:szCs w:val="24"/>
              </w:rPr>
            </w:pPr>
            <w:smartTag w:uri="urn:schemas-microsoft-com:office:smarttags" w:element="PlaceName">
              <w:smartTag w:uri="urn:schemas-microsoft-com:office:smarttags" w:element="place">
                <w:r w:rsidRPr="007505DD">
                  <w:rPr>
                    <w:color w:val="000000"/>
                    <w:sz w:val="24"/>
                    <w:szCs w:val="24"/>
                  </w:rPr>
                  <w:t>Lander</w:t>
                </w:r>
              </w:smartTag>
              <w:r w:rsidRPr="007505DD">
                <w:rPr>
                  <w:color w:val="000000"/>
                  <w:sz w:val="24"/>
                  <w:szCs w:val="24"/>
                </w:rPr>
                <w:t xml:space="preserve"> </w:t>
              </w:r>
              <w:smartTag w:uri="urn:schemas-microsoft-com:office:smarttags" w:element="PlaceType">
                <w:r w:rsidRPr="007505DD">
                  <w:rPr>
                    <w:color w:val="000000"/>
                    <w:sz w:val="24"/>
                    <w:szCs w:val="24"/>
                  </w:rPr>
                  <w:t>County</w:t>
                </w:r>
              </w:smartTag>
            </w:smartTag>
          </w:p>
        </w:tc>
        <w:tc>
          <w:tcPr>
            <w:tcW w:w="135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0.42</w:t>
            </w:r>
          </w:p>
        </w:tc>
        <w:tc>
          <w:tcPr>
            <w:tcW w:w="117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1.1</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5318</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4835:1</w:t>
            </w:r>
          </w:p>
        </w:tc>
        <w:tc>
          <w:tcPr>
            <w:tcW w:w="81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13</w:t>
            </w:r>
          </w:p>
        </w:tc>
      </w:tr>
      <w:tr w:rsidR="0074428D" w:rsidRPr="007505DD">
        <w:trPr>
          <w:trHeight w:val="302"/>
        </w:trPr>
        <w:tc>
          <w:tcPr>
            <w:tcW w:w="3173" w:type="dxa"/>
            <w:tcBorders>
              <w:top w:val="nil"/>
              <w:left w:val="single" w:sz="4" w:space="0" w:color="auto"/>
              <w:bottom w:val="single" w:sz="4" w:space="0" w:color="auto"/>
              <w:right w:val="single" w:sz="4" w:space="0" w:color="auto"/>
            </w:tcBorders>
            <w:vAlign w:val="bottom"/>
          </w:tcPr>
          <w:p w:rsidR="0074428D" w:rsidRPr="007505DD" w:rsidRDefault="0074428D" w:rsidP="00A57CBE">
            <w:pPr>
              <w:rPr>
                <w:color w:val="000000"/>
                <w:sz w:val="24"/>
                <w:szCs w:val="24"/>
              </w:rPr>
            </w:pPr>
            <w:smartTag w:uri="urn:schemas-microsoft-com:office:smarttags" w:element="PlaceName">
              <w:smartTag w:uri="urn:schemas-microsoft-com:office:smarttags" w:element="place">
                <w:r w:rsidRPr="007505DD">
                  <w:rPr>
                    <w:color w:val="000000"/>
                    <w:sz w:val="24"/>
                    <w:szCs w:val="24"/>
                  </w:rPr>
                  <w:t>Lincoln</w:t>
                </w:r>
              </w:smartTag>
              <w:r w:rsidRPr="007505DD">
                <w:rPr>
                  <w:color w:val="000000"/>
                  <w:sz w:val="24"/>
                  <w:szCs w:val="24"/>
                </w:rPr>
                <w:t xml:space="preserve"> </w:t>
              </w:r>
              <w:smartTag w:uri="urn:schemas-microsoft-com:office:smarttags" w:element="PlaceType">
                <w:r w:rsidRPr="007505DD">
                  <w:rPr>
                    <w:color w:val="000000"/>
                    <w:sz w:val="24"/>
                    <w:szCs w:val="24"/>
                  </w:rPr>
                  <w:t>County</w:t>
                </w:r>
              </w:smartTag>
            </w:smartTag>
          </w:p>
        </w:tc>
        <w:tc>
          <w:tcPr>
            <w:tcW w:w="135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0.16</w:t>
            </w:r>
          </w:p>
        </w:tc>
        <w:tc>
          <w:tcPr>
            <w:tcW w:w="117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1.1</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4406</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4005:1</w:t>
            </w:r>
          </w:p>
        </w:tc>
        <w:tc>
          <w:tcPr>
            <w:tcW w:w="81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16</w:t>
            </w:r>
          </w:p>
        </w:tc>
      </w:tr>
      <w:tr w:rsidR="0074428D" w:rsidRPr="007505DD">
        <w:trPr>
          <w:trHeight w:val="302"/>
        </w:trPr>
        <w:tc>
          <w:tcPr>
            <w:tcW w:w="3173" w:type="dxa"/>
            <w:tcBorders>
              <w:top w:val="nil"/>
              <w:left w:val="single" w:sz="4" w:space="0" w:color="auto"/>
              <w:bottom w:val="single" w:sz="4" w:space="0" w:color="auto"/>
              <w:right w:val="single" w:sz="4" w:space="0" w:color="auto"/>
            </w:tcBorders>
            <w:vAlign w:val="bottom"/>
          </w:tcPr>
          <w:p w:rsidR="0074428D" w:rsidRPr="007505DD" w:rsidRDefault="0074428D" w:rsidP="0004482E">
            <w:pPr>
              <w:rPr>
                <w:color w:val="000000"/>
                <w:sz w:val="24"/>
                <w:szCs w:val="24"/>
              </w:rPr>
            </w:pPr>
            <w:smartTag w:uri="urn:schemas-microsoft-com:office:smarttags" w:element="PlaceName">
              <w:smartTag w:uri="urn:schemas-microsoft-com:office:smarttags" w:element="place">
                <w:r w:rsidRPr="007505DD">
                  <w:rPr>
                    <w:color w:val="000000"/>
                    <w:sz w:val="24"/>
                    <w:szCs w:val="24"/>
                  </w:rPr>
                  <w:t>Lyon</w:t>
                </w:r>
              </w:smartTag>
              <w:r w:rsidRPr="007505DD">
                <w:rPr>
                  <w:color w:val="000000"/>
                  <w:sz w:val="24"/>
                  <w:szCs w:val="24"/>
                </w:rPr>
                <w:t xml:space="preserve"> </w:t>
              </w:r>
              <w:smartTag w:uri="urn:schemas-microsoft-com:office:smarttags" w:element="PlaceType">
                <w:r w:rsidRPr="007505DD">
                  <w:rPr>
                    <w:color w:val="000000"/>
                    <w:sz w:val="24"/>
                    <w:szCs w:val="24"/>
                  </w:rPr>
                  <w:t>County</w:t>
                </w:r>
              </w:smartTag>
            </w:smartTag>
          </w:p>
        </w:tc>
        <w:tc>
          <w:tcPr>
            <w:tcW w:w="135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9.43</w:t>
            </w:r>
          </w:p>
        </w:tc>
        <w:tc>
          <w:tcPr>
            <w:tcW w:w="117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5</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50,502</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10,100:1</w:t>
            </w:r>
          </w:p>
        </w:tc>
        <w:tc>
          <w:tcPr>
            <w:tcW w:w="81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16</w:t>
            </w:r>
          </w:p>
        </w:tc>
      </w:tr>
      <w:tr w:rsidR="0074428D" w:rsidRPr="007505DD">
        <w:trPr>
          <w:trHeight w:val="302"/>
        </w:trPr>
        <w:tc>
          <w:tcPr>
            <w:tcW w:w="3173" w:type="dxa"/>
            <w:tcBorders>
              <w:top w:val="nil"/>
              <w:left w:val="single" w:sz="4" w:space="0" w:color="auto"/>
              <w:bottom w:val="single" w:sz="4" w:space="0" w:color="auto"/>
              <w:right w:val="single" w:sz="4" w:space="0" w:color="auto"/>
            </w:tcBorders>
            <w:vAlign w:val="bottom"/>
          </w:tcPr>
          <w:p w:rsidR="0074428D" w:rsidRPr="007505DD" w:rsidRDefault="0074428D" w:rsidP="0004482E">
            <w:pPr>
              <w:rPr>
                <w:color w:val="000000"/>
                <w:sz w:val="24"/>
                <w:szCs w:val="24"/>
              </w:rPr>
            </w:pPr>
            <w:smartTag w:uri="urn:schemas-microsoft-com:office:smarttags" w:element="PlaceName">
              <w:smartTag w:uri="urn:schemas-microsoft-com:office:smarttags" w:element="place">
                <w:r w:rsidRPr="007505DD">
                  <w:rPr>
                    <w:color w:val="000000"/>
                    <w:sz w:val="24"/>
                    <w:szCs w:val="24"/>
                  </w:rPr>
                  <w:t>Mineral</w:t>
                </w:r>
              </w:smartTag>
              <w:r w:rsidRPr="007505DD">
                <w:rPr>
                  <w:color w:val="000000"/>
                  <w:sz w:val="24"/>
                  <w:szCs w:val="24"/>
                </w:rPr>
                <w:t xml:space="preserve"> </w:t>
              </w:r>
              <w:smartTag w:uri="urn:schemas-microsoft-com:office:smarttags" w:element="PlaceType">
                <w:r w:rsidRPr="007505DD">
                  <w:rPr>
                    <w:color w:val="000000"/>
                    <w:sz w:val="24"/>
                    <w:szCs w:val="24"/>
                  </w:rPr>
                  <w:t>County</w:t>
                </w:r>
              </w:smartTag>
            </w:smartTag>
          </w:p>
        </w:tc>
        <w:tc>
          <w:tcPr>
            <w:tcW w:w="135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0.72</w:t>
            </w:r>
          </w:p>
        </w:tc>
        <w:tc>
          <w:tcPr>
            <w:tcW w:w="117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0.6</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4630</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7,717:1</w:t>
            </w:r>
          </w:p>
        </w:tc>
        <w:tc>
          <w:tcPr>
            <w:tcW w:w="81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18</w:t>
            </w:r>
          </w:p>
        </w:tc>
      </w:tr>
      <w:tr w:rsidR="0074428D" w:rsidRPr="007505DD">
        <w:trPr>
          <w:trHeight w:val="370"/>
        </w:trPr>
        <w:tc>
          <w:tcPr>
            <w:tcW w:w="3173" w:type="dxa"/>
            <w:tcBorders>
              <w:top w:val="nil"/>
              <w:left w:val="single" w:sz="4" w:space="0" w:color="auto"/>
              <w:bottom w:val="single" w:sz="4" w:space="0" w:color="auto"/>
              <w:right w:val="single" w:sz="4" w:space="0" w:color="auto"/>
            </w:tcBorders>
            <w:vAlign w:val="bottom"/>
          </w:tcPr>
          <w:p w:rsidR="0074428D" w:rsidRPr="007505DD" w:rsidRDefault="0074428D" w:rsidP="0004482E">
            <w:pPr>
              <w:rPr>
                <w:color w:val="000000"/>
                <w:sz w:val="24"/>
                <w:szCs w:val="24"/>
              </w:rPr>
            </w:pPr>
            <w:r w:rsidRPr="007505DD">
              <w:rPr>
                <w:color w:val="000000"/>
                <w:sz w:val="24"/>
                <w:szCs w:val="24"/>
              </w:rPr>
              <w:t>Mountain City/Jarbridge Service Area</w:t>
            </w:r>
          </w:p>
        </w:tc>
        <w:tc>
          <w:tcPr>
            <w:tcW w:w="135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0.37</w:t>
            </w:r>
          </w:p>
        </w:tc>
        <w:tc>
          <w:tcPr>
            <w:tcW w:w="117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0</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1302</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1,302:0</w:t>
            </w:r>
          </w:p>
        </w:tc>
        <w:tc>
          <w:tcPr>
            <w:tcW w:w="81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12</w:t>
            </w:r>
          </w:p>
        </w:tc>
      </w:tr>
      <w:tr w:rsidR="0074428D" w:rsidRPr="007505DD">
        <w:trPr>
          <w:trHeight w:val="325"/>
        </w:trPr>
        <w:tc>
          <w:tcPr>
            <w:tcW w:w="3173" w:type="dxa"/>
            <w:tcBorders>
              <w:top w:val="nil"/>
              <w:left w:val="single" w:sz="4" w:space="0" w:color="auto"/>
              <w:bottom w:val="single" w:sz="4" w:space="0" w:color="auto"/>
              <w:right w:val="single" w:sz="4" w:space="0" w:color="auto"/>
            </w:tcBorders>
            <w:vAlign w:val="bottom"/>
          </w:tcPr>
          <w:p w:rsidR="0074428D" w:rsidRPr="007505DD" w:rsidRDefault="0074428D" w:rsidP="0004482E">
            <w:pPr>
              <w:rPr>
                <w:color w:val="000000"/>
                <w:sz w:val="24"/>
                <w:szCs w:val="24"/>
              </w:rPr>
            </w:pPr>
            <w:r w:rsidRPr="007505DD">
              <w:rPr>
                <w:color w:val="000000"/>
                <w:sz w:val="24"/>
                <w:szCs w:val="24"/>
              </w:rPr>
              <w:t>Northern Clark Service Area</w:t>
            </w:r>
          </w:p>
        </w:tc>
        <w:tc>
          <w:tcPr>
            <w:tcW w:w="135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1.99</w:t>
            </w:r>
          </w:p>
        </w:tc>
        <w:tc>
          <w:tcPr>
            <w:tcW w:w="117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10,450</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10,450:1</w:t>
            </w:r>
          </w:p>
        </w:tc>
        <w:tc>
          <w:tcPr>
            <w:tcW w:w="81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14</w:t>
            </w:r>
          </w:p>
        </w:tc>
      </w:tr>
      <w:tr w:rsidR="0074428D" w:rsidRPr="007505DD">
        <w:trPr>
          <w:trHeight w:val="302"/>
        </w:trPr>
        <w:tc>
          <w:tcPr>
            <w:tcW w:w="3173" w:type="dxa"/>
            <w:tcBorders>
              <w:top w:val="nil"/>
              <w:left w:val="single" w:sz="4" w:space="0" w:color="auto"/>
              <w:bottom w:val="single" w:sz="4" w:space="0" w:color="auto"/>
              <w:right w:val="single" w:sz="4" w:space="0" w:color="auto"/>
            </w:tcBorders>
            <w:vAlign w:val="bottom"/>
          </w:tcPr>
          <w:p w:rsidR="0074428D" w:rsidRPr="007505DD" w:rsidRDefault="0074428D" w:rsidP="0004482E">
            <w:pPr>
              <w:rPr>
                <w:color w:val="000000"/>
                <w:sz w:val="24"/>
                <w:szCs w:val="24"/>
              </w:rPr>
            </w:pPr>
            <w:r w:rsidRPr="007505DD">
              <w:rPr>
                <w:color w:val="000000"/>
                <w:sz w:val="24"/>
                <w:szCs w:val="24"/>
              </w:rPr>
              <w:t xml:space="preserve">Northern </w:t>
            </w:r>
            <w:smartTag w:uri="urn:schemas-microsoft-com:office:smarttags" w:element="PlaceName">
              <w:smartTag w:uri="urn:schemas-microsoft-com:office:smarttags" w:element="place">
                <w:r w:rsidRPr="007505DD">
                  <w:rPr>
                    <w:color w:val="000000"/>
                    <w:sz w:val="24"/>
                    <w:szCs w:val="24"/>
                  </w:rPr>
                  <w:t>Nye</w:t>
                </w:r>
              </w:smartTag>
              <w:r w:rsidRPr="007505DD">
                <w:rPr>
                  <w:color w:val="000000"/>
                  <w:sz w:val="24"/>
                  <w:szCs w:val="24"/>
                </w:rPr>
                <w:t xml:space="preserve"> </w:t>
              </w:r>
              <w:smartTag w:uri="urn:schemas-microsoft-com:office:smarttags" w:element="PlaceType">
                <w:r w:rsidRPr="007505DD">
                  <w:rPr>
                    <w:color w:val="000000"/>
                    <w:sz w:val="24"/>
                    <w:szCs w:val="24"/>
                  </w:rPr>
                  <w:t>County</w:t>
                </w:r>
              </w:smartTag>
            </w:smartTag>
          </w:p>
        </w:tc>
        <w:tc>
          <w:tcPr>
            <w:tcW w:w="135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0.56</w:t>
            </w:r>
          </w:p>
        </w:tc>
        <w:tc>
          <w:tcPr>
            <w:tcW w:w="117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5446</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5,446:1</w:t>
            </w:r>
          </w:p>
        </w:tc>
        <w:tc>
          <w:tcPr>
            <w:tcW w:w="81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14</w:t>
            </w:r>
          </w:p>
        </w:tc>
      </w:tr>
      <w:tr w:rsidR="0074428D" w:rsidRPr="007505DD">
        <w:trPr>
          <w:trHeight w:val="302"/>
        </w:trPr>
        <w:tc>
          <w:tcPr>
            <w:tcW w:w="3173" w:type="dxa"/>
            <w:tcBorders>
              <w:top w:val="nil"/>
              <w:left w:val="single" w:sz="4" w:space="0" w:color="auto"/>
              <w:bottom w:val="single" w:sz="4" w:space="0" w:color="auto"/>
              <w:right w:val="single" w:sz="4" w:space="0" w:color="auto"/>
            </w:tcBorders>
            <w:vAlign w:val="bottom"/>
          </w:tcPr>
          <w:p w:rsidR="0074428D" w:rsidRPr="007505DD" w:rsidRDefault="0074428D" w:rsidP="0004482E">
            <w:pPr>
              <w:rPr>
                <w:color w:val="000000"/>
                <w:sz w:val="24"/>
                <w:szCs w:val="24"/>
              </w:rPr>
            </w:pPr>
            <w:r w:rsidRPr="007505DD">
              <w:rPr>
                <w:color w:val="000000"/>
                <w:sz w:val="24"/>
                <w:szCs w:val="24"/>
              </w:rPr>
              <w:t xml:space="preserve">Northern </w:t>
            </w:r>
            <w:smartTag w:uri="urn:schemas-microsoft-com:office:smarttags" w:element="PlaceName">
              <w:smartTag w:uri="urn:schemas-microsoft-com:office:smarttags" w:element="place">
                <w:r w:rsidRPr="007505DD">
                  <w:rPr>
                    <w:color w:val="000000"/>
                    <w:sz w:val="24"/>
                    <w:szCs w:val="24"/>
                  </w:rPr>
                  <w:t>Washoe</w:t>
                </w:r>
              </w:smartTag>
              <w:r w:rsidRPr="007505DD">
                <w:rPr>
                  <w:color w:val="000000"/>
                  <w:sz w:val="24"/>
                  <w:szCs w:val="24"/>
                </w:rPr>
                <w:t xml:space="preserve"> </w:t>
              </w:r>
              <w:smartTag w:uri="urn:schemas-microsoft-com:office:smarttags" w:element="PlaceType">
                <w:r w:rsidRPr="007505DD">
                  <w:rPr>
                    <w:color w:val="000000"/>
                    <w:sz w:val="24"/>
                    <w:szCs w:val="24"/>
                  </w:rPr>
                  <w:t>County</w:t>
                </w:r>
              </w:smartTag>
            </w:smartTag>
          </w:p>
        </w:tc>
        <w:tc>
          <w:tcPr>
            <w:tcW w:w="135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1.23</w:t>
            </w:r>
          </w:p>
        </w:tc>
        <w:tc>
          <w:tcPr>
            <w:tcW w:w="117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0</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4292</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4,292:0</w:t>
            </w:r>
          </w:p>
        </w:tc>
        <w:tc>
          <w:tcPr>
            <w:tcW w:w="81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16</w:t>
            </w:r>
          </w:p>
        </w:tc>
      </w:tr>
      <w:tr w:rsidR="0074428D" w:rsidRPr="007505DD">
        <w:trPr>
          <w:trHeight w:val="302"/>
        </w:trPr>
        <w:tc>
          <w:tcPr>
            <w:tcW w:w="3173" w:type="dxa"/>
            <w:tcBorders>
              <w:top w:val="nil"/>
              <w:left w:val="single" w:sz="4" w:space="0" w:color="auto"/>
              <w:bottom w:val="single" w:sz="4" w:space="0" w:color="auto"/>
              <w:right w:val="single" w:sz="4" w:space="0" w:color="auto"/>
            </w:tcBorders>
            <w:vAlign w:val="bottom"/>
          </w:tcPr>
          <w:p w:rsidR="0074428D" w:rsidRPr="007505DD" w:rsidRDefault="0074428D" w:rsidP="0004482E">
            <w:pPr>
              <w:rPr>
                <w:color w:val="000000"/>
                <w:sz w:val="24"/>
                <w:szCs w:val="24"/>
              </w:rPr>
            </w:pPr>
            <w:smartTag w:uri="urn:schemas-microsoft-com:office:smarttags" w:element="PlaceName">
              <w:smartTag w:uri="urn:schemas-microsoft-com:office:smarttags" w:element="place">
                <w:r w:rsidRPr="007505DD">
                  <w:rPr>
                    <w:color w:val="000000"/>
                    <w:sz w:val="24"/>
                    <w:szCs w:val="24"/>
                  </w:rPr>
                  <w:t>Pershing</w:t>
                </w:r>
              </w:smartTag>
              <w:r w:rsidRPr="007505DD">
                <w:rPr>
                  <w:color w:val="000000"/>
                  <w:sz w:val="24"/>
                  <w:szCs w:val="24"/>
                </w:rPr>
                <w:t xml:space="preserve"> </w:t>
              </w:r>
              <w:smartTag w:uri="urn:schemas-microsoft-com:office:smarttags" w:element="PlaceType">
                <w:r w:rsidRPr="007505DD">
                  <w:rPr>
                    <w:color w:val="000000"/>
                    <w:sz w:val="24"/>
                    <w:szCs w:val="24"/>
                  </w:rPr>
                  <w:t>County</w:t>
                </w:r>
              </w:smartTag>
            </w:smartTag>
          </w:p>
        </w:tc>
        <w:tc>
          <w:tcPr>
            <w:tcW w:w="135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1.35</w:t>
            </w:r>
          </w:p>
        </w:tc>
        <w:tc>
          <w:tcPr>
            <w:tcW w:w="117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0</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4731</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4,731:0</w:t>
            </w:r>
          </w:p>
        </w:tc>
        <w:tc>
          <w:tcPr>
            <w:tcW w:w="81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17</w:t>
            </w:r>
          </w:p>
        </w:tc>
      </w:tr>
      <w:tr w:rsidR="0074428D" w:rsidRPr="007505DD">
        <w:trPr>
          <w:trHeight w:val="302"/>
        </w:trPr>
        <w:tc>
          <w:tcPr>
            <w:tcW w:w="3173" w:type="dxa"/>
            <w:tcBorders>
              <w:top w:val="nil"/>
              <w:left w:val="single" w:sz="4" w:space="0" w:color="auto"/>
              <w:bottom w:val="single" w:sz="4" w:space="0" w:color="auto"/>
              <w:right w:val="single" w:sz="4" w:space="0" w:color="auto"/>
            </w:tcBorders>
            <w:vAlign w:val="bottom"/>
          </w:tcPr>
          <w:p w:rsidR="0074428D" w:rsidRPr="007505DD" w:rsidRDefault="0074428D" w:rsidP="0004482E">
            <w:pPr>
              <w:rPr>
                <w:color w:val="000000"/>
                <w:sz w:val="24"/>
                <w:szCs w:val="24"/>
              </w:rPr>
            </w:pPr>
            <w:smartTag w:uri="urn:schemas-microsoft-com:office:smarttags" w:element="PlaceName">
              <w:smartTag w:uri="urn:schemas-microsoft-com:office:smarttags" w:element="place">
                <w:r w:rsidRPr="007505DD">
                  <w:rPr>
                    <w:color w:val="000000"/>
                    <w:sz w:val="24"/>
                    <w:szCs w:val="24"/>
                  </w:rPr>
                  <w:t>Pyramid</w:t>
                </w:r>
              </w:smartTag>
              <w:r w:rsidRPr="007505DD">
                <w:rPr>
                  <w:color w:val="000000"/>
                  <w:sz w:val="24"/>
                  <w:szCs w:val="24"/>
                </w:rPr>
                <w:t xml:space="preserve"> </w:t>
              </w:r>
              <w:smartTag w:uri="urn:schemas-microsoft-com:office:smarttags" w:element="PlaceType">
                <w:r w:rsidRPr="007505DD">
                  <w:rPr>
                    <w:color w:val="000000"/>
                    <w:sz w:val="24"/>
                    <w:szCs w:val="24"/>
                  </w:rPr>
                  <w:t>Lake</w:t>
                </w:r>
              </w:smartTag>
            </w:smartTag>
          </w:p>
        </w:tc>
        <w:tc>
          <w:tcPr>
            <w:tcW w:w="135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0.4</w:t>
            </w:r>
          </w:p>
        </w:tc>
        <w:tc>
          <w:tcPr>
            <w:tcW w:w="117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0</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1392</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1,392:0</w:t>
            </w:r>
          </w:p>
        </w:tc>
        <w:tc>
          <w:tcPr>
            <w:tcW w:w="81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9</w:t>
            </w:r>
          </w:p>
        </w:tc>
      </w:tr>
      <w:tr w:rsidR="0074428D" w:rsidRPr="007505DD">
        <w:trPr>
          <w:trHeight w:val="302"/>
        </w:trPr>
        <w:tc>
          <w:tcPr>
            <w:tcW w:w="3173" w:type="dxa"/>
            <w:tcBorders>
              <w:top w:val="nil"/>
              <w:left w:val="single" w:sz="4" w:space="0" w:color="auto"/>
              <w:bottom w:val="single" w:sz="4" w:space="0" w:color="auto"/>
              <w:right w:val="single" w:sz="4" w:space="0" w:color="auto"/>
            </w:tcBorders>
            <w:vAlign w:val="bottom"/>
          </w:tcPr>
          <w:p w:rsidR="0074428D" w:rsidRPr="007505DD" w:rsidRDefault="0074428D" w:rsidP="0004482E">
            <w:pPr>
              <w:rPr>
                <w:color w:val="000000"/>
                <w:sz w:val="24"/>
                <w:szCs w:val="24"/>
              </w:rPr>
            </w:pPr>
            <w:smartTag w:uri="urn:schemas-microsoft-com:office:smarttags" w:element="PlaceName">
              <w:smartTag w:uri="urn:schemas-microsoft-com:office:smarttags" w:element="place">
                <w:r w:rsidRPr="007505DD">
                  <w:rPr>
                    <w:color w:val="000000"/>
                    <w:sz w:val="24"/>
                    <w:szCs w:val="24"/>
                  </w:rPr>
                  <w:t>Storey</w:t>
                </w:r>
              </w:smartTag>
              <w:r w:rsidRPr="007505DD">
                <w:rPr>
                  <w:color w:val="000000"/>
                  <w:sz w:val="24"/>
                  <w:szCs w:val="24"/>
                </w:rPr>
                <w:t xml:space="preserve"> </w:t>
              </w:r>
              <w:smartTag w:uri="urn:schemas-microsoft-com:office:smarttags" w:element="PlaceType">
                <w:r w:rsidRPr="007505DD">
                  <w:rPr>
                    <w:color w:val="000000"/>
                    <w:sz w:val="24"/>
                    <w:szCs w:val="24"/>
                  </w:rPr>
                  <w:t>County</w:t>
                </w:r>
              </w:smartTag>
            </w:smartTag>
          </w:p>
        </w:tc>
        <w:tc>
          <w:tcPr>
            <w:tcW w:w="135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1.14</w:t>
            </w:r>
          </w:p>
        </w:tc>
        <w:tc>
          <w:tcPr>
            <w:tcW w:w="117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0</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3985</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3,985:0</w:t>
            </w:r>
          </w:p>
        </w:tc>
        <w:tc>
          <w:tcPr>
            <w:tcW w:w="81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12</w:t>
            </w:r>
          </w:p>
        </w:tc>
      </w:tr>
      <w:tr w:rsidR="0074428D" w:rsidRPr="007505DD">
        <w:trPr>
          <w:trHeight w:val="334"/>
        </w:trPr>
        <w:tc>
          <w:tcPr>
            <w:tcW w:w="3173" w:type="dxa"/>
            <w:tcBorders>
              <w:top w:val="nil"/>
              <w:left w:val="single" w:sz="4" w:space="0" w:color="auto"/>
              <w:bottom w:val="single" w:sz="4" w:space="0" w:color="auto"/>
              <w:right w:val="single" w:sz="4" w:space="0" w:color="auto"/>
            </w:tcBorders>
            <w:vAlign w:val="bottom"/>
          </w:tcPr>
          <w:p w:rsidR="0074428D" w:rsidRPr="007505DD" w:rsidRDefault="0074428D" w:rsidP="0004482E">
            <w:pPr>
              <w:rPr>
                <w:color w:val="000000"/>
                <w:sz w:val="24"/>
                <w:szCs w:val="24"/>
              </w:rPr>
            </w:pPr>
            <w:r w:rsidRPr="007505DD">
              <w:rPr>
                <w:color w:val="000000"/>
                <w:sz w:val="24"/>
                <w:szCs w:val="24"/>
              </w:rPr>
              <w:t xml:space="preserve">Low Income - </w:t>
            </w:r>
            <w:smartTag w:uri="urn:schemas-microsoft-com:office:smarttags" w:element="place">
              <w:smartTag w:uri="urn:schemas-microsoft-com:office:smarttags" w:element="City">
                <w:r w:rsidRPr="007505DD">
                  <w:rPr>
                    <w:color w:val="000000"/>
                    <w:sz w:val="24"/>
                    <w:szCs w:val="24"/>
                  </w:rPr>
                  <w:t>Carson</w:t>
                </w:r>
              </w:smartTag>
            </w:smartTag>
            <w:r w:rsidRPr="007505DD">
              <w:rPr>
                <w:color w:val="000000"/>
                <w:sz w:val="24"/>
                <w:szCs w:val="24"/>
              </w:rPr>
              <w:t xml:space="preserve"> Valley</w:t>
            </w:r>
            <w:r w:rsidRPr="007505DD">
              <w:rPr>
                <w:color w:val="000000"/>
                <w:sz w:val="24"/>
                <w:szCs w:val="24"/>
                <w:vertAlign w:val="superscript"/>
              </w:rPr>
              <w:t>3</w:t>
            </w:r>
          </w:p>
        </w:tc>
        <w:tc>
          <w:tcPr>
            <w:tcW w:w="135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2.62</w:t>
            </w:r>
          </w:p>
        </w:tc>
        <w:tc>
          <w:tcPr>
            <w:tcW w:w="117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3.6</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18,648</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5,180:1</w:t>
            </w:r>
          </w:p>
        </w:tc>
        <w:tc>
          <w:tcPr>
            <w:tcW w:w="81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15</w:t>
            </w:r>
          </w:p>
        </w:tc>
      </w:tr>
      <w:tr w:rsidR="0074428D" w:rsidRPr="007505DD">
        <w:trPr>
          <w:trHeight w:val="334"/>
        </w:trPr>
        <w:tc>
          <w:tcPr>
            <w:tcW w:w="3173" w:type="dxa"/>
            <w:tcBorders>
              <w:top w:val="nil"/>
              <w:left w:val="single" w:sz="4" w:space="0" w:color="auto"/>
              <w:bottom w:val="single" w:sz="4" w:space="0" w:color="auto"/>
              <w:right w:val="single" w:sz="4" w:space="0" w:color="auto"/>
            </w:tcBorders>
            <w:vAlign w:val="bottom"/>
          </w:tcPr>
          <w:p w:rsidR="0074428D" w:rsidRPr="007505DD" w:rsidRDefault="0074428D" w:rsidP="0004482E">
            <w:pPr>
              <w:rPr>
                <w:color w:val="000000"/>
                <w:sz w:val="24"/>
                <w:szCs w:val="24"/>
              </w:rPr>
            </w:pPr>
            <w:r w:rsidRPr="007505DD">
              <w:rPr>
                <w:color w:val="000000"/>
                <w:sz w:val="24"/>
                <w:szCs w:val="24"/>
              </w:rPr>
              <w:t>Low Income - Central Las Vegas</w:t>
            </w:r>
            <w:r w:rsidRPr="007505DD">
              <w:rPr>
                <w:color w:val="000000"/>
                <w:sz w:val="24"/>
                <w:szCs w:val="24"/>
                <w:vertAlign w:val="superscript"/>
              </w:rPr>
              <w:t>3</w:t>
            </w:r>
          </w:p>
        </w:tc>
        <w:tc>
          <w:tcPr>
            <w:tcW w:w="135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6.17</w:t>
            </w:r>
          </w:p>
        </w:tc>
        <w:tc>
          <w:tcPr>
            <w:tcW w:w="117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0.5</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20,019</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40,038:1</w:t>
            </w:r>
          </w:p>
        </w:tc>
        <w:tc>
          <w:tcPr>
            <w:tcW w:w="81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18</w:t>
            </w:r>
          </w:p>
        </w:tc>
      </w:tr>
      <w:tr w:rsidR="0074428D" w:rsidRPr="007505DD">
        <w:trPr>
          <w:trHeight w:val="399"/>
        </w:trPr>
        <w:tc>
          <w:tcPr>
            <w:tcW w:w="3173" w:type="dxa"/>
            <w:tcBorders>
              <w:top w:val="nil"/>
              <w:left w:val="single" w:sz="4" w:space="0" w:color="auto"/>
              <w:bottom w:val="single" w:sz="4" w:space="0" w:color="auto"/>
              <w:right w:val="single" w:sz="4" w:space="0" w:color="auto"/>
            </w:tcBorders>
            <w:vAlign w:val="bottom"/>
          </w:tcPr>
          <w:p w:rsidR="0074428D" w:rsidRPr="007505DD" w:rsidRDefault="0074428D" w:rsidP="0004482E">
            <w:pPr>
              <w:rPr>
                <w:color w:val="000000"/>
                <w:sz w:val="24"/>
                <w:szCs w:val="24"/>
              </w:rPr>
            </w:pPr>
            <w:r w:rsidRPr="007505DD">
              <w:rPr>
                <w:color w:val="000000"/>
                <w:sz w:val="24"/>
                <w:szCs w:val="24"/>
              </w:rPr>
              <w:t>Low Income - East Central Las Vegas</w:t>
            </w:r>
            <w:r w:rsidRPr="007505DD">
              <w:rPr>
                <w:color w:val="000000"/>
                <w:sz w:val="24"/>
                <w:szCs w:val="24"/>
                <w:vertAlign w:val="superscript"/>
              </w:rPr>
              <w:t>2</w:t>
            </w:r>
          </w:p>
        </w:tc>
        <w:tc>
          <w:tcPr>
            <w:tcW w:w="135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19.48</w:t>
            </w:r>
          </w:p>
        </w:tc>
        <w:tc>
          <w:tcPr>
            <w:tcW w:w="117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13.2</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98,029</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7,426:1</w:t>
            </w:r>
          </w:p>
        </w:tc>
        <w:tc>
          <w:tcPr>
            <w:tcW w:w="81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16</w:t>
            </w:r>
          </w:p>
        </w:tc>
      </w:tr>
      <w:tr w:rsidR="0074428D" w:rsidRPr="007505DD">
        <w:trPr>
          <w:trHeight w:val="302"/>
        </w:trPr>
        <w:tc>
          <w:tcPr>
            <w:tcW w:w="3173" w:type="dxa"/>
            <w:tcBorders>
              <w:top w:val="nil"/>
              <w:left w:val="single" w:sz="4" w:space="0" w:color="auto"/>
              <w:bottom w:val="single" w:sz="4" w:space="0" w:color="auto"/>
              <w:right w:val="single" w:sz="4" w:space="0" w:color="auto"/>
            </w:tcBorders>
            <w:vAlign w:val="bottom"/>
          </w:tcPr>
          <w:p w:rsidR="0074428D" w:rsidRPr="007505DD" w:rsidRDefault="0074428D" w:rsidP="0004482E">
            <w:pPr>
              <w:rPr>
                <w:color w:val="000000"/>
                <w:sz w:val="24"/>
                <w:szCs w:val="24"/>
              </w:rPr>
            </w:pPr>
            <w:r w:rsidRPr="007505DD">
              <w:rPr>
                <w:color w:val="000000"/>
                <w:sz w:val="24"/>
                <w:szCs w:val="24"/>
              </w:rPr>
              <w:t>Low Income – Laughlin</w:t>
            </w:r>
            <w:r w:rsidRPr="007505DD">
              <w:rPr>
                <w:color w:val="000000"/>
                <w:sz w:val="24"/>
                <w:szCs w:val="24"/>
                <w:vertAlign w:val="superscript"/>
              </w:rPr>
              <w:t>3</w:t>
            </w:r>
          </w:p>
        </w:tc>
        <w:tc>
          <w:tcPr>
            <w:tcW w:w="135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0.76</w:t>
            </w:r>
          </w:p>
        </w:tc>
        <w:tc>
          <w:tcPr>
            <w:tcW w:w="117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0.2</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2885</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14,425:1</w:t>
            </w:r>
          </w:p>
        </w:tc>
        <w:tc>
          <w:tcPr>
            <w:tcW w:w="81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16</w:t>
            </w:r>
          </w:p>
        </w:tc>
      </w:tr>
      <w:tr w:rsidR="0074428D" w:rsidRPr="007505DD">
        <w:trPr>
          <w:trHeight w:val="302"/>
        </w:trPr>
        <w:tc>
          <w:tcPr>
            <w:tcW w:w="3173" w:type="dxa"/>
            <w:tcBorders>
              <w:top w:val="nil"/>
              <w:left w:val="single" w:sz="4" w:space="0" w:color="auto"/>
              <w:bottom w:val="single" w:sz="4" w:space="0" w:color="auto"/>
              <w:right w:val="single" w:sz="4" w:space="0" w:color="auto"/>
            </w:tcBorders>
            <w:vAlign w:val="bottom"/>
          </w:tcPr>
          <w:p w:rsidR="0074428D" w:rsidRPr="007505DD" w:rsidRDefault="0074428D" w:rsidP="0004482E">
            <w:pPr>
              <w:rPr>
                <w:color w:val="000000"/>
                <w:sz w:val="24"/>
                <w:szCs w:val="24"/>
              </w:rPr>
            </w:pPr>
            <w:r w:rsidRPr="007505DD">
              <w:rPr>
                <w:color w:val="000000"/>
                <w:sz w:val="24"/>
                <w:szCs w:val="24"/>
              </w:rPr>
              <w:lastRenderedPageBreak/>
              <w:t>Low Income – Mesquite</w:t>
            </w:r>
            <w:r w:rsidRPr="007505DD">
              <w:rPr>
                <w:color w:val="000000"/>
                <w:sz w:val="24"/>
                <w:szCs w:val="24"/>
                <w:vertAlign w:val="superscript"/>
              </w:rPr>
              <w:t>3</w:t>
            </w:r>
          </w:p>
        </w:tc>
        <w:tc>
          <w:tcPr>
            <w:tcW w:w="135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0.48</w:t>
            </w:r>
          </w:p>
        </w:tc>
        <w:tc>
          <w:tcPr>
            <w:tcW w:w="117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0.8</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3836</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4,795:1</w:t>
            </w:r>
          </w:p>
        </w:tc>
        <w:tc>
          <w:tcPr>
            <w:tcW w:w="81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12</w:t>
            </w:r>
          </w:p>
        </w:tc>
      </w:tr>
      <w:tr w:rsidR="0074428D" w:rsidRPr="007505DD">
        <w:trPr>
          <w:trHeight w:val="302"/>
        </w:trPr>
        <w:tc>
          <w:tcPr>
            <w:tcW w:w="3173" w:type="dxa"/>
            <w:tcBorders>
              <w:top w:val="nil"/>
              <w:left w:val="single" w:sz="4" w:space="0" w:color="auto"/>
              <w:bottom w:val="single" w:sz="4" w:space="0" w:color="auto"/>
              <w:right w:val="single" w:sz="4" w:space="0" w:color="auto"/>
            </w:tcBorders>
            <w:vAlign w:val="bottom"/>
          </w:tcPr>
          <w:p w:rsidR="0074428D" w:rsidRPr="007505DD" w:rsidRDefault="0074428D" w:rsidP="0004482E">
            <w:pPr>
              <w:rPr>
                <w:color w:val="000000"/>
                <w:sz w:val="24"/>
                <w:szCs w:val="24"/>
              </w:rPr>
            </w:pPr>
            <w:r w:rsidRPr="007505DD">
              <w:rPr>
                <w:color w:val="000000"/>
                <w:sz w:val="24"/>
                <w:szCs w:val="24"/>
              </w:rPr>
              <w:t>Low Income - Reno/Sparks</w:t>
            </w:r>
            <w:r w:rsidRPr="007505DD">
              <w:rPr>
                <w:color w:val="000000"/>
                <w:sz w:val="24"/>
                <w:szCs w:val="24"/>
                <w:vertAlign w:val="superscript"/>
              </w:rPr>
              <w:t>3</w:t>
            </w:r>
          </w:p>
        </w:tc>
        <w:tc>
          <w:tcPr>
            <w:tcW w:w="135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5.71</w:t>
            </w:r>
          </w:p>
        </w:tc>
        <w:tc>
          <w:tcPr>
            <w:tcW w:w="117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18</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71,131</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3,952:1</w:t>
            </w:r>
          </w:p>
        </w:tc>
        <w:tc>
          <w:tcPr>
            <w:tcW w:w="81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11</w:t>
            </w:r>
          </w:p>
        </w:tc>
      </w:tr>
      <w:tr w:rsidR="0074428D" w:rsidRPr="007505DD">
        <w:trPr>
          <w:trHeight w:val="325"/>
        </w:trPr>
        <w:tc>
          <w:tcPr>
            <w:tcW w:w="3173" w:type="dxa"/>
            <w:tcBorders>
              <w:top w:val="nil"/>
              <w:left w:val="single" w:sz="4" w:space="0" w:color="auto"/>
              <w:bottom w:val="single" w:sz="4" w:space="0" w:color="auto"/>
              <w:right w:val="single" w:sz="4" w:space="0" w:color="auto"/>
            </w:tcBorders>
            <w:vAlign w:val="bottom"/>
          </w:tcPr>
          <w:p w:rsidR="0074428D" w:rsidRPr="007505DD" w:rsidRDefault="0074428D" w:rsidP="0004482E">
            <w:pPr>
              <w:rPr>
                <w:color w:val="000000"/>
                <w:sz w:val="24"/>
                <w:szCs w:val="24"/>
              </w:rPr>
            </w:pPr>
            <w:r w:rsidRPr="007505DD">
              <w:rPr>
                <w:color w:val="000000"/>
                <w:sz w:val="24"/>
                <w:szCs w:val="24"/>
              </w:rPr>
              <w:t>Low Income - South Central Las Vegas</w:t>
            </w:r>
            <w:r w:rsidRPr="007505DD">
              <w:rPr>
                <w:color w:val="000000"/>
                <w:sz w:val="24"/>
                <w:szCs w:val="24"/>
                <w:vertAlign w:val="superscript"/>
              </w:rPr>
              <w:t>3</w:t>
            </w:r>
          </w:p>
        </w:tc>
        <w:tc>
          <w:tcPr>
            <w:tcW w:w="135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0.09</w:t>
            </w:r>
          </w:p>
        </w:tc>
        <w:tc>
          <w:tcPr>
            <w:tcW w:w="117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27.5</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82,761</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3,009:1</w:t>
            </w:r>
          </w:p>
        </w:tc>
        <w:tc>
          <w:tcPr>
            <w:tcW w:w="81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10</w:t>
            </w:r>
          </w:p>
        </w:tc>
      </w:tr>
      <w:tr w:rsidR="0074428D" w:rsidRPr="007505DD">
        <w:trPr>
          <w:trHeight w:val="352"/>
        </w:trPr>
        <w:tc>
          <w:tcPr>
            <w:tcW w:w="3173" w:type="dxa"/>
            <w:tcBorders>
              <w:top w:val="nil"/>
              <w:left w:val="single" w:sz="4" w:space="0" w:color="auto"/>
              <w:bottom w:val="single" w:sz="4" w:space="0" w:color="auto"/>
              <w:right w:val="single" w:sz="4" w:space="0" w:color="auto"/>
            </w:tcBorders>
            <w:vAlign w:val="bottom"/>
          </w:tcPr>
          <w:p w:rsidR="0074428D" w:rsidRPr="007505DD" w:rsidRDefault="0074428D" w:rsidP="0004482E">
            <w:pPr>
              <w:rPr>
                <w:color w:val="000000"/>
                <w:sz w:val="24"/>
                <w:szCs w:val="24"/>
              </w:rPr>
            </w:pPr>
            <w:r w:rsidRPr="007505DD">
              <w:rPr>
                <w:color w:val="000000"/>
                <w:sz w:val="24"/>
                <w:szCs w:val="24"/>
              </w:rPr>
              <w:t>Low Income - Southern Nye County</w:t>
            </w:r>
            <w:r w:rsidRPr="007505DD">
              <w:rPr>
                <w:color w:val="000000"/>
                <w:sz w:val="24"/>
                <w:szCs w:val="24"/>
                <w:vertAlign w:val="superscript"/>
              </w:rPr>
              <w:t>3</w:t>
            </w:r>
          </w:p>
        </w:tc>
        <w:tc>
          <w:tcPr>
            <w:tcW w:w="135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1.85</w:t>
            </w:r>
          </w:p>
        </w:tc>
        <w:tc>
          <w:tcPr>
            <w:tcW w:w="117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3.5</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16,048</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4,585:1</w:t>
            </w:r>
          </w:p>
        </w:tc>
        <w:tc>
          <w:tcPr>
            <w:tcW w:w="81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14</w:t>
            </w:r>
          </w:p>
        </w:tc>
      </w:tr>
      <w:tr w:rsidR="0074428D" w:rsidRPr="007505DD">
        <w:trPr>
          <w:trHeight w:val="445"/>
        </w:trPr>
        <w:tc>
          <w:tcPr>
            <w:tcW w:w="3173" w:type="dxa"/>
            <w:tcBorders>
              <w:top w:val="nil"/>
              <w:left w:val="single" w:sz="4" w:space="0" w:color="auto"/>
              <w:bottom w:val="single" w:sz="4" w:space="0" w:color="auto"/>
              <w:right w:val="single" w:sz="4" w:space="0" w:color="auto"/>
            </w:tcBorders>
            <w:vAlign w:val="bottom"/>
          </w:tcPr>
          <w:p w:rsidR="0074428D" w:rsidRPr="007505DD" w:rsidRDefault="0074428D" w:rsidP="0004482E">
            <w:pPr>
              <w:rPr>
                <w:color w:val="000000"/>
                <w:sz w:val="24"/>
                <w:szCs w:val="24"/>
              </w:rPr>
            </w:pPr>
            <w:r w:rsidRPr="007505DD">
              <w:rPr>
                <w:color w:val="000000"/>
                <w:sz w:val="24"/>
                <w:szCs w:val="24"/>
              </w:rPr>
              <w:t>Low Income - West Central Las Vegas</w:t>
            </w:r>
            <w:r w:rsidRPr="007505DD">
              <w:rPr>
                <w:color w:val="000000"/>
                <w:sz w:val="24"/>
                <w:szCs w:val="24"/>
                <w:vertAlign w:val="superscript"/>
              </w:rPr>
              <w:t>3</w:t>
            </w:r>
          </w:p>
        </w:tc>
        <w:tc>
          <w:tcPr>
            <w:tcW w:w="135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15.68</w:t>
            </w:r>
          </w:p>
        </w:tc>
        <w:tc>
          <w:tcPr>
            <w:tcW w:w="117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0.1</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47,346</w:t>
            </w:r>
          </w:p>
        </w:tc>
        <w:tc>
          <w:tcPr>
            <w:tcW w:w="144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473,460:1</w:t>
            </w:r>
          </w:p>
        </w:tc>
        <w:tc>
          <w:tcPr>
            <w:tcW w:w="810" w:type="dxa"/>
            <w:tcBorders>
              <w:top w:val="nil"/>
              <w:left w:val="nil"/>
              <w:bottom w:val="single" w:sz="4" w:space="0" w:color="auto"/>
              <w:right w:val="single" w:sz="4" w:space="0" w:color="auto"/>
            </w:tcBorders>
            <w:vAlign w:val="bottom"/>
          </w:tcPr>
          <w:p w:rsidR="0074428D" w:rsidRPr="007505DD" w:rsidRDefault="0074428D" w:rsidP="0070423A">
            <w:pPr>
              <w:jc w:val="right"/>
              <w:rPr>
                <w:color w:val="000000"/>
                <w:sz w:val="24"/>
                <w:szCs w:val="24"/>
              </w:rPr>
            </w:pPr>
            <w:r w:rsidRPr="007505DD">
              <w:rPr>
                <w:color w:val="000000"/>
                <w:sz w:val="24"/>
                <w:szCs w:val="24"/>
              </w:rPr>
              <w:t>13</w:t>
            </w:r>
          </w:p>
        </w:tc>
      </w:tr>
      <w:tr w:rsidR="0074428D" w:rsidRPr="007505DD">
        <w:trPr>
          <w:trHeight w:val="302"/>
        </w:trPr>
        <w:tc>
          <w:tcPr>
            <w:tcW w:w="3173" w:type="dxa"/>
            <w:tcBorders>
              <w:top w:val="single" w:sz="4" w:space="0" w:color="auto"/>
              <w:left w:val="single" w:sz="4" w:space="0" w:color="auto"/>
              <w:bottom w:val="single" w:sz="4" w:space="0" w:color="auto"/>
              <w:right w:val="single" w:sz="4" w:space="0" w:color="auto"/>
            </w:tcBorders>
            <w:vAlign w:val="bottom"/>
          </w:tcPr>
          <w:p w:rsidR="0074428D" w:rsidRPr="007505DD" w:rsidRDefault="0074428D" w:rsidP="0004482E">
            <w:pPr>
              <w:rPr>
                <w:b/>
                <w:bCs/>
                <w:color w:val="000000"/>
                <w:sz w:val="24"/>
                <w:szCs w:val="24"/>
              </w:rPr>
            </w:pPr>
            <w:r w:rsidRPr="007505DD">
              <w:rPr>
                <w:b/>
                <w:bCs/>
                <w:color w:val="000000"/>
                <w:sz w:val="24"/>
                <w:szCs w:val="24"/>
              </w:rPr>
              <w:t>Total</w:t>
            </w:r>
          </w:p>
        </w:tc>
        <w:tc>
          <w:tcPr>
            <w:tcW w:w="1350" w:type="dxa"/>
            <w:tcBorders>
              <w:top w:val="single" w:sz="4" w:space="0" w:color="auto"/>
              <w:left w:val="nil"/>
              <w:bottom w:val="single" w:sz="4" w:space="0" w:color="auto"/>
              <w:right w:val="single" w:sz="4" w:space="0" w:color="auto"/>
            </w:tcBorders>
            <w:noWrap/>
            <w:vAlign w:val="bottom"/>
          </w:tcPr>
          <w:p w:rsidR="0074428D" w:rsidRPr="007505DD" w:rsidRDefault="0074428D" w:rsidP="0070423A">
            <w:pPr>
              <w:jc w:val="right"/>
              <w:rPr>
                <w:b/>
                <w:bCs/>
                <w:color w:val="000000"/>
                <w:sz w:val="24"/>
                <w:szCs w:val="24"/>
              </w:rPr>
            </w:pPr>
            <w:r w:rsidRPr="007505DD">
              <w:rPr>
                <w:b/>
                <w:bCs/>
                <w:color w:val="000000"/>
                <w:sz w:val="24"/>
                <w:szCs w:val="24"/>
              </w:rPr>
              <w:t>75.86</w:t>
            </w:r>
          </w:p>
        </w:tc>
        <w:tc>
          <w:tcPr>
            <w:tcW w:w="1170" w:type="dxa"/>
            <w:tcBorders>
              <w:top w:val="single" w:sz="4" w:space="0" w:color="auto"/>
              <w:left w:val="nil"/>
              <w:bottom w:val="single" w:sz="4" w:space="0" w:color="auto"/>
              <w:right w:val="single" w:sz="4" w:space="0" w:color="auto"/>
            </w:tcBorders>
            <w:noWrap/>
            <w:vAlign w:val="bottom"/>
          </w:tcPr>
          <w:p w:rsidR="0074428D" w:rsidRPr="007505DD" w:rsidRDefault="0074428D" w:rsidP="0070423A">
            <w:pPr>
              <w:jc w:val="right"/>
              <w:rPr>
                <w:b/>
                <w:bCs/>
                <w:color w:val="000000"/>
                <w:sz w:val="24"/>
                <w:szCs w:val="24"/>
              </w:rPr>
            </w:pPr>
            <w:r w:rsidRPr="007505DD">
              <w:rPr>
                <w:b/>
                <w:bCs/>
                <w:color w:val="000000"/>
                <w:sz w:val="24"/>
                <w:szCs w:val="24"/>
              </w:rPr>
              <w:t>81.5</w:t>
            </w:r>
          </w:p>
        </w:tc>
        <w:tc>
          <w:tcPr>
            <w:tcW w:w="1440" w:type="dxa"/>
            <w:tcBorders>
              <w:top w:val="single" w:sz="4" w:space="0" w:color="auto"/>
              <w:left w:val="nil"/>
              <w:bottom w:val="single" w:sz="4" w:space="0" w:color="auto"/>
              <w:right w:val="single" w:sz="4" w:space="0" w:color="auto"/>
            </w:tcBorders>
            <w:noWrap/>
            <w:vAlign w:val="bottom"/>
          </w:tcPr>
          <w:p w:rsidR="0074428D" w:rsidRPr="007505DD" w:rsidRDefault="0074428D" w:rsidP="0070423A">
            <w:pPr>
              <w:jc w:val="right"/>
              <w:rPr>
                <w:b/>
                <w:bCs/>
                <w:color w:val="000000"/>
                <w:sz w:val="24"/>
                <w:szCs w:val="24"/>
              </w:rPr>
            </w:pPr>
            <w:r w:rsidRPr="007505DD">
              <w:rPr>
                <w:b/>
                <w:bCs/>
                <w:color w:val="000000"/>
                <w:sz w:val="24"/>
                <w:szCs w:val="24"/>
              </w:rPr>
              <w:t> </w:t>
            </w:r>
          </w:p>
        </w:tc>
        <w:tc>
          <w:tcPr>
            <w:tcW w:w="1440" w:type="dxa"/>
            <w:tcBorders>
              <w:top w:val="single" w:sz="4" w:space="0" w:color="auto"/>
              <w:left w:val="nil"/>
              <w:bottom w:val="single" w:sz="4" w:space="0" w:color="auto"/>
              <w:right w:val="single" w:sz="4" w:space="0" w:color="auto"/>
            </w:tcBorders>
            <w:noWrap/>
            <w:vAlign w:val="bottom"/>
          </w:tcPr>
          <w:p w:rsidR="0074428D" w:rsidRPr="007505DD" w:rsidRDefault="0074428D" w:rsidP="0070423A">
            <w:pPr>
              <w:jc w:val="right"/>
              <w:rPr>
                <w:b/>
                <w:bCs/>
                <w:color w:val="000000"/>
                <w:sz w:val="24"/>
                <w:szCs w:val="24"/>
              </w:rPr>
            </w:pPr>
            <w:r w:rsidRPr="007505DD">
              <w:rPr>
                <w:b/>
                <w:bCs/>
                <w:color w:val="000000"/>
                <w:sz w:val="24"/>
                <w:szCs w:val="24"/>
              </w:rPr>
              <w:t> </w:t>
            </w:r>
          </w:p>
        </w:tc>
        <w:tc>
          <w:tcPr>
            <w:tcW w:w="810" w:type="dxa"/>
            <w:tcBorders>
              <w:top w:val="single" w:sz="4" w:space="0" w:color="auto"/>
              <w:left w:val="nil"/>
              <w:bottom w:val="single" w:sz="4" w:space="0" w:color="auto"/>
              <w:right w:val="single" w:sz="4" w:space="0" w:color="auto"/>
            </w:tcBorders>
            <w:noWrap/>
            <w:vAlign w:val="bottom"/>
          </w:tcPr>
          <w:p w:rsidR="0074428D" w:rsidRPr="007505DD" w:rsidRDefault="0074428D" w:rsidP="0070423A">
            <w:pPr>
              <w:jc w:val="right"/>
              <w:rPr>
                <w:b/>
                <w:bCs/>
                <w:color w:val="000000"/>
                <w:sz w:val="24"/>
                <w:szCs w:val="24"/>
              </w:rPr>
            </w:pPr>
            <w:r w:rsidRPr="007505DD">
              <w:rPr>
                <w:b/>
                <w:bCs/>
                <w:color w:val="000000"/>
                <w:sz w:val="24"/>
                <w:szCs w:val="24"/>
              </w:rPr>
              <w:t> </w:t>
            </w:r>
          </w:p>
        </w:tc>
      </w:tr>
      <w:tr w:rsidR="0074428D" w:rsidRPr="007505DD">
        <w:trPr>
          <w:trHeight w:val="302"/>
        </w:trPr>
        <w:tc>
          <w:tcPr>
            <w:tcW w:w="9383" w:type="dxa"/>
            <w:gridSpan w:val="6"/>
            <w:tcBorders>
              <w:top w:val="single" w:sz="4" w:space="0" w:color="auto"/>
              <w:left w:val="single" w:sz="4" w:space="0" w:color="auto"/>
              <w:bottom w:val="single" w:sz="4" w:space="0" w:color="auto"/>
              <w:right w:val="single" w:sz="4" w:space="0" w:color="auto"/>
            </w:tcBorders>
            <w:vAlign w:val="bottom"/>
          </w:tcPr>
          <w:p w:rsidR="0074428D" w:rsidRPr="007505DD" w:rsidRDefault="0074428D" w:rsidP="0000314D">
            <w:pPr>
              <w:spacing w:after="0" w:line="240" w:lineRule="auto"/>
              <w:rPr>
                <w:sz w:val="24"/>
                <w:szCs w:val="24"/>
              </w:rPr>
            </w:pPr>
            <w:r w:rsidRPr="007505DD">
              <w:rPr>
                <w:bCs/>
                <w:color w:val="000000"/>
                <w:sz w:val="24"/>
                <w:szCs w:val="24"/>
                <w:vertAlign w:val="superscript"/>
              </w:rPr>
              <w:t>1</w:t>
            </w:r>
            <w:r w:rsidRPr="007505DD">
              <w:rPr>
                <w:sz w:val="24"/>
                <w:szCs w:val="24"/>
              </w:rPr>
              <w:t>Primary care providers include family medicine, internal medicine, general medicine, OB/GYN, pediatric, and geriatric MDs and DOs</w:t>
            </w:r>
          </w:p>
          <w:p w:rsidR="0074428D" w:rsidRPr="007505DD" w:rsidRDefault="0074428D" w:rsidP="0000314D">
            <w:pPr>
              <w:spacing w:after="0" w:line="240" w:lineRule="auto"/>
              <w:rPr>
                <w:sz w:val="24"/>
                <w:szCs w:val="24"/>
              </w:rPr>
            </w:pPr>
            <w:r w:rsidRPr="007505DD">
              <w:rPr>
                <w:sz w:val="24"/>
                <w:szCs w:val="24"/>
                <w:vertAlign w:val="superscript"/>
              </w:rPr>
              <w:t>2</w:t>
            </w:r>
            <w:r w:rsidRPr="007505DD">
              <w:rPr>
                <w:sz w:val="24"/>
                <w:szCs w:val="24"/>
              </w:rPr>
              <w:t xml:space="preserve">Full Time Equivalency: 1 </w:t>
            </w:r>
            <w:smartTag w:uri="urn:schemas-microsoft-com:office:smarttags" w:element="stockticker">
              <w:r w:rsidRPr="007505DD">
                <w:rPr>
                  <w:sz w:val="24"/>
                  <w:szCs w:val="24"/>
                </w:rPr>
                <w:t>FTE</w:t>
              </w:r>
            </w:smartTag>
            <w:r w:rsidRPr="007505DD">
              <w:rPr>
                <w:sz w:val="24"/>
                <w:szCs w:val="24"/>
              </w:rPr>
              <w:t xml:space="preserve"> = 40 hour workweek of direct outpatient care</w:t>
            </w:r>
          </w:p>
          <w:p w:rsidR="0074428D" w:rsidRPr="007505DD" w:rsidRDefault="0074428D" w:rsidP="0000314D">
            <w:pPr>
              <w:spacing w:after="0" w:line="240" w:lineRule="auto"/>
              <w:rPr>
                <w:b/>
                <w:bCs/>
                <w:color w:val="000000"/>
                <w:sz w:val="24"/>
                <w:szCs w:val="24"/>
              </w:rPr>
            </w:pPr>
            <w:r w:rsidRPr="007505DD">
              <w:rPr>
                <w:color w:val="000000"/>
                <w:sz w:val="24"/>
                <w:szCs w:val="24"/>
                <w:vertAlign w:val="superscript"/>
              </w:rPr>
              <w:t>3</w:t>
            </w:r>
            <w:r w:rsidRPr="007505DD">
              <w:rPr>
                <w:sz w:val="24"/>
                <w:szCs w:val="24"/>
              </w:rPr>
              <w:t xml:space="preserve">Low income </w:t>
            </w:r>
            <w:smartTag w:uri="urn:schemas-microsoft-com:office:smarttags" w:element="stockticker">
              <w:r w:rsidRPr="007505DD">
                <w:rPr>
                  <w:sz w:val="24"/>
                  <w:szCs w:val="24"/>
                </w:rPr>
                <w:t>FTE</w:t>
              </w:r>
            </w:smartTag>
            <w:r w:rsidRPr="007505DD">
              <w:rPr>
                <w:sz w:val="24"/>
                <w:szCs w:val="24"/>
              </w:rPr>
              <w:t xml:space="preserve"> is calculated by adding the percentages of care given to Medicaid and sliding fee scale/charity care patients and multiplying it by the provider’s </w:t>
            </w:r>
            <w:smartTag w:uri="urn:schemas-microsoft-com:office:smarttags" w:element="stockticker">
              <w:r w:rsidRPr="007505DD">
                <w:rPr>
                  <w:sz w:val="24"/>
                  <w:szCs w:val="24"/>
                </w:rPr>
                <w:t>FTE</w:t>
              </w:r>
            </w:smartTag>
            <w:r w:rsidRPr="007505DD">
              <w:rPr>
                <w:sz w:val="24"/>
                <w:szCs w:val="24"/>
              </w:rPr>
              <w:t>. For Low Income HPSAs, the population considered is those under the 200% poverty threshold.</w:t>
            </w:r>
          </w:p>
        </w:tc>
      </w:tr>
    </w:tbl>
    <w:p w:rsidR="0074428D" w:rsidRDefault="0074428D" w:rsidP="007F66B5">
      <w:pPr>
        <w:rPr>
          <w:sz w:val="24"/>
          <w:szCs w:val="24"/>
        </w:rPr>
      </w:pPr>
    </w:p>
    <w:p w:rsidR="0074428D" w:rsidRDefault="00DA1648" w:rsidP="00404A7F">
      <w:pPr>
        <w:jc w:val="center"/>
        <w:rPr>
          <w:sz w:val="24"/>
          <w:szCs w:val="24"/>
        </w:rPr>
      </w:pPr>
      <w:r w:rsidRPr="00484B39">
        <w:rPr>
          <w:noProof/>
          <w:sz w:val="24"/>
          <w:szCs w:val="24"/>
        </w:rPr>
        <w:lastRenderedPageBreak/>
        <w:drawing>
          <wp:inline distT="0" distB="0" distL="0" distR="0">
            <wp:extent cx="3102610" cy="4169410"/>
            <wp:effectExtent l="0" t="0" r="2540" b="254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2610" cy="4169410"/>
                    </a:xfrm>
                    <a:prstGeom prst="rect">
                      <a:avLst/>
                    </a:prstGeom>
                    <a:noFill/>
                    <a:ln>
                      <a:noFill/>
                    </a:ln>
                  </pic:spPr>
                </pic:pic>
              </a:graphicData>
            </a:graphic>
          </wp:inline>
        </w:drawing>
      </w:r>
    </w:p>
    <w:p w:rsidR="0074428D" w:rsidRDefault="0074428D" w:rsidP="007F66B5">
      <w:pPr>
        <w:rPr>
          <w:sz w:val="24"/>
          <w:szCs w:val="24"/>
        </w:rPr>
      </w:pPr>
      <w:r>
        <w:rPr>
          <w:sz w:val="24"/>
          <w:szCs w:val="24"/>
        </w:rPr>
        <w:t>To summarize the above table and map, Nevada has 26 primary care HPSA designations in 14 out of 17 counties</w:t>
      </w:r>
      <w:r w:rsidRPr="006D357C">
        <w:rPr>
          <w:sz w:val="24"/>
          <w:szCs w:val="24"/>
        </w:rPr>
        <w:t>, including eight whole county designations, and eighteen partial county designations, with fourteen HPSA scores at 14 or higher, reflecting the highest level of need for HRSA-funded programs.  While most of the score</w:t>
      </w:r>
      <w:r>
        <w:rPr>
          <w:sz w:val="24"/>
          <w:szCs w:val="24"/>
        </w:rPr>
        <w:t xml:space="preserve"> is derived from the population-to-</w:t>
      </w:r>
      <w:r w:rsidRPr="006D357C">
        <w:rPr>
          <w:sz w:val="24"/>
          <w:szCs w:val="24"/>
        </w:rPr>
        <w:t xml:space="preserve">provider ratio, the whole </w:t>
      </w:r>
      <w:smartTag w:uri="urn:schemas-microsoft-com:office:smarttags" w:element="PlaceType">
        <w:smartTag w:uri="urn:schemas-microsoft-com:office:smarttags" w:element="place">
          <w:r w:rsidRPr="006D357C">
            <w:rPr>
              <w:sz w:val="24"/>
              <w:szCs w:val="24"/>
            </w:rPr>
            <w:t>county</w:t>
          </w:r>
        </w:smartTag>
        <w:r w:rsidRPr="006D357C">
          <w:rPr>
            <w:sz w:val="24"/>
            <w:szCs w:val="24"/>
          </w:rPr>
          <w:t xml:space="preserve"> </w:t>
        </w:r>
        <w:smartTag w:uri="urn:schemas-microsoft-com:office:smarttags" w:element="PlaceName">
          <w:r w:rsidRPr="006D357C">
            <w:rPr>
              <w:sz w:val="24"/>
              <w:szCs w:val="24"/>
            </w:rPr>
            <w:t>HPSAs</w:t>
          </w:r>
        </w:smartTag>
      </w:smartTag>
      <w:r w:rsidRPr="006D357C">
        <w:rPr>
          <w:sz w:val="24"/>
          <w:szCs w:val="24"/>
        </w:rPr>
        <w:t xml:space="preserve"> also gain significant points from excessive travel times in rural and frontier areas that may be hundreds of miles from a primary care provider.  The partial county designations are typically in more urban areas with high poverty rates and limited access t</w:t>
      </w:r>
      <w:r>
        <w:rPr>
          <w:sz w:val="24"/>
          <w:szCs w:val="24"/>
        </w:rPr>
        <w:t>o providers who accept Medicaid, as well as transportation challenges.</w:t>
      </w:r>
    </w:p>
    <w:p w:rsidR="0074428D" w:rsidRDefault="0074428D" w:rsidP="007F66B5">
      <w:pPr>
        <w:rPr>
          <w:sz w:val="24"/>
          <w:szCs w:val="24"/>
        </w:rPr>
      </w:pPr>
      <w:r>
        <w:rPr>
          <w:sz w:val="24"/>
          <w:szCs w:val="24"/>
        </w:rPr>
        <w:t xml:space="preserve">Out of the 26 primary care designations, ten received the full 10 points for population-to-provider ratio; seven are in rural or frontier areas and the remaining three are in low-income areas of East, West and </w:t>
      </w:r>
      <w:smartTag w:uri="urn:schemas-microsoft-com:office:smarttags" w:element="place">
        <w:r>
          <w:rPr>
            <w:sz w:val="24"/>
            <w:szCs w:val="24"/>
          </w:rPr>
          <w:t>Central Las Vegas</w:t>
        </w:r>
      </w:smartTag>
      <w:r>
        <w:rPr>
          <w:sz w:val="24"/>
          <w:szCs w:val="24"/>
        </w:rPr>
        <w:t>.  Nineteen of the designations received the full 5 points for travel time/distance, twelve of which are in rural/frontier areas.</w:t>
      </w:r>
    </w:p>
    <w:p w:rsidR="0074428D" w:rsidRPr="006D357C" w:rsidRDefault="0074428D" w:rsidP="007F66B5">
      <w:pPr>
        <w:rPr>
          <w:sz w:val="24"/>
          <w:szCs w:val="24"/>
        </w:rPr>
      </w:pPr>
      <w:r>
        <w:rPr>
          <w:sz w:val="24"/>
          <w:szCs w:val="24"/>
        </w:rPr>
        <w:lastRenderedPageBreak/>
        <w:t>The three counties that do not have primary care HPSA designations do have designations for rural health clinics (2), tribal health clinics (3) or Indian Health Services facilities (1).  For Nevada overall, there are twenty-four Tribal Health Clinics with average HPSA score of 17, three Indian Health Service Facilities with average HPSA score of 18.7, and eight Rural Health Clinics with average HPSA score of 13.</w:t>
      </w:r>
    </w:p>
    <w:p w:rsidR="0074428D" w:rsidRPr="000E5D4D" w:rsidRDefault="0074428D" w:rsidP="007F66B5">
      <w:pPr>
        <w:rPr>
          <w:sz w:val="24"/>
          <w:szCs w:val="24"/>
          <w:u w:val="single"/>
        </w:rPr>
      </w:pPr>
      <w:r w:rsidRPr="000E5D4D">
        <w:rPr>
          <w:sz w:val="24"/>
          <w:szCs w:val="24"/>
          <w:u w:val="single"/>
        </w:rPr>
        <w:t>Dental Care Providers</w:t>
      </w:r>
    </w:p>
    <w:p w:rsidR="0074428D" w:rsidRPr="006D357C" w:rsidRDefault="0074428D" w:rsidP="007F66B5">
      <w:pPr>
        <w:rPr>
          <w:sz w:val="24"/>
          <w:szCs w:val="24"/>
        </w:rPr>
      </w:pPr>
      <w:r w:rsidRPr="006D357C">
        <w:rPr>
          <w:sz w:val="24"/>
          <w:szCs w:val="24"/>
        </w:rPr>
        <w:t xml:space="preserve">According to the </w:t>
      </w:r>
      <w:r>
        <w:rPr>
          <w:sz w:val="24"/>
          <w:szCs w:val="24"/>
        </w:rPr>
        <w:t xml:space="preserve">report on </w:t>
      </w:r>
      <w:r>
        <w:rPr>
          <w:i/>
          <w:sz w:val="24"/>
          <w:szCs w:val="24"/>
        </w:rPr>
        <w:t>Supply of Dentists in the US: 2001 – 2013</w:t>
      </w:r>
      <w:r>
        <w:rPr>
          <w:rStyle w:val="FootnoteReference"/>
          <w:i/>
          <w:sz w:val="24"/>
          <w:szCs w:val="24"/>
        </w:rPr>
        <w:footnoteReference w:id="39"/>
      </w:r>
      <w:r>
        <w:rPr>
          <w:i/>
          <w:sz w:val="24"/>
          <w:szCs w:val="24"/>
        </w:rPr>
        <w:t xml:space="preserve">, </w:t>
      </w:r>
      <w:smartTag w:uri="urn:schemas-microsoft-com:office:smarttags" w:element="place">
        <w:smartTag w:uri="urn:schemas-microsoft-com:office:smarttags" w:element="State">
          <w:r w:rsidRPr="006D357C">
            <w:rPr>
              <w:sz w:val="24"/>
              <w:szCs w:val="24"/>
            </w:rPr>
            <w:t>Nevada</w:t>
          </w:r>
        </w:smartTag>
      </w:smartTag>
      <w:r w:rsidRPr="006D357C">
        <w:rPr>
          <w:sz w:val="24"/>
          <w:szCs w:val="24"/>
        </w:rPr>
        <w:t xml:space="preserve"> ranked 33</w:t>
      </w:r>
      <w:r w:rsidRPr="006D357C">
        <w:rPr>
          <w:sz w:val="24"/>
          <w:szCs w:val="24"/>
          <w:vertAlign w:val="superscript"/>
        </w:rPr>
        <w:t>rd</w:t>
      </w:r>
      <w:r w:rsidRPr="006D357C">
        <w:rPr>
          <w:sz w:val="24"/>
          <w:szCs w:val="24"/>
        </w:rPr>
        <w:t xml:space="preserve"> out of the 50 states and the </w:t>
      </w:r>
      <w:smartTag w:uri="urn:schemas-microsoft-com:office:smarttags" w:element="place">
        <w:smartTag w:uri="urn:schemas-microsoft-com:office:smarttags" w:element="State">
          <w:r w:rsidRPr="006D357C">
            <w:rPr>
              <w:sz w:val="24"/>
              <w:szCs w:val="24"/>
            </w:rPr>
            <w:t>District of Columbia</w:t>
          </w:r>
        </w:smartTag>
      </w:smartTag>
      <w:r w:rsidRPr="006D357C">
        <w:rPr>
          <w:sz w:val="24"/>
          <w:szCs w:val="24"/>
        </w:rPr>
        <w:t xml:space="preserve">, for the number of dentists per 100,000 population.  This is a significant improvement from 2001, when </w:t>
      </w:r>
      <w:smartTag w:uri="urn:schemas-microsoft-com:office:smarttags" w:element="place">
        <w:smartTag w:uri="urn:schemas-microsoft-com:office:smarttags" w:element="State">
          <w:r w:rsidRPr="006D357C">
            <w:rPr>
              <w:sz w:val="24"/>
              <w:szCs w:val="24"/>
            </w:rPr>
            <w:t>Nevada</w:t>
          </w:r>
        </w:smartTag>
      </w:smartTag>
      <w:r w:rsidRPr="006D357C">
        <w:rPr>
          <w:sz w:val="24"/>
          <w:szCs w:val="24"/>
        </w:rPr>
        <w:t xml:space="preserve"> ranked 49</w:t>
      </w:r>
      <w:r w:rsidRPr="006D357C">
        <w:rPr>
          <w:sz w:val="24"/>
          <w:szCs w:val="24"/>
          <w:vertAlign w:val="superscript"/>
        </w:rPr>
        <w:t>th</w:t>
      </w:r>
      <w:r w:rsidRPr="006D357C">
        <w:rPr>
          <w:sz w:val="24"/>
          <w:szCs w:val="24"/>
        </w:rPr>
        <w:t>!</w:t>
      </w:r>
    </w:p>
    <w:p w:rsidR="0074428D" w:rsidRDefault="0074428D" w:rsidP="007F66B5">
      <w:pPr>
        <w:rPr>
          <w:sz w:val="24"/>
          <w:szCs w:val="24"/>
        </w:rPr>
      </w:pPr>
      <w:r>
        <w:rPr>
          <w:sz w:val="24"/>
          <w:szCs w:val="24"/>
        </w:rPr>
        <w:t xml:space="preserve">However, many areas of our state continue to have difficulty accessing dentists, because Medicaid may not be accepted, or dentists who do accept Medicaid may not take new patients.  </w:t>
      </w:r>
    </w:p>
    <w:p w:rsidR="0074428D" w:rsidRPr="006D357C" w:rsidRDefault="0074428D" w:rsidP="007F66B5">
      <w:pPr>
        <w:rPr>
          <w:sz w:val="24"/>
          <w:szCs w:val="24"/>
        </w:rPr>
      </w:pPr>
    </w:p>
    <w:tbl>
      <w:tblPr>
        <w:tblW w:w="9253" w:type="dxa"/>
        <w:tblLook w:val="04A0" w:firstRow="1" w:lastRow="0" w:firstColumn="1" w:lastColumn="0" w:noHBand="0" w:noVBand="1"/>
      </w:tblPr>
      <w:tblGrid>
        <w:gridCol w:w="3468"/>
        <w:gridCol w:w="1115"/>
        <w:gridCol w:w="1066"/>
        <w:gridCol w:w="1404"/>
        <w:gridCol w:w="1312"/>
        <w:gridCol w:w="888"/>
      </w:tblGrid>
      <w:tr w:rsidR="0074428D" w:rsidRPr="007505DD">
        <w:trPr>
          <w:trHeight w:val="503"/>
        </w:trPr>
        <w:tc>
          <w:tcPr>
            <w:tcW w:w="9253" w:type="dxa"/>
            <w:gridSpan w:val="6"/>
            <w:tcBorders>
              <w:top w:val="single" w:sz="4" w:space="0" w:color="auto"/>
              <w:left w:val="single" w:sz="4" w:space="0" w:color="auto"/>
              <w:bottom w:val="single" w:sz="4" w:space="0" w:color="auto"/>
              <w:right w:val="single" w:sz="4" w:space="0" w:color="auto"/>
            </w:tcBorders>
            <w:shd w:val="clear" w:color="000000" w:fill="FFFFFF"/>
            <w:vAlign w:val="bottom"/>
          </w:tcPr>
          <w:p w:rsidR="0074428D" w:rsidRPr="007505DD" w:rsidRDefault="0074428D" w:rsidP="00A57CBE">
            <w:pPr>
              <w:rPr>
                <w:b/>
                <w:bCs/>
                <w:color w:val="000000"/>
                <w:sz w:val="24"/>
                <w:szCs w:val="24"/>
              </w:rPr>
            </w:pPr>
            <w:smartTag w:uri="urn:schemas-microsoft-com:office:smarttags" w:element="place">
              <w:smartTag w:uri="urn:schemas-microsoft-com:office:smarttags" w:element="State">
                <w:r w:rsidRPr="007505DD">
                  <w:rPr>
                    <w:b/>
                    <w:bCs/>
                    <w:color w:val="000000"/>
                    <w:sz w:val="24"/>
                    <w:szCs w:val="24"/>
                  </w:rPr>
                  <w:t>Nevada</w:t>
                </w:r>
              </w:smartTag>
            </w:smartTag>
            <w:r w:rsidRPr="007505DD">
              <w:rPr>
                <w:b/>
                <w:bCs/>
                <w:color w:val="000000"/>
                <w:sz w:val="24"/>
                <w:szCs w:val="24"/>
              </w:rPr>
              <w:t xml:space="preserve"> Dental Care Provider</w:t>
            </w:r>
            <w:r w:rsidRPr="007505DD">
              <w:rPr>
                <w:b/>
                <w:bCs/>
                <w:color w:val="000000"/>
                <w:sz w:val="24"/>
                <w:szCs w:val="24"/>
                <w:vertAlign w:val="superscript"/>
              </w:rPr>
              <w:t>1</w:t>
            </w:r>
            <w:r w:rsidRPr="007505DD">
              <w:rPr>
                <w:b/>
                <w:bCs/>
                <w:color w:val="000000"/>
                <w:sz w:val="24"/>
                <w:szCs w:val="24"/>
              </w:rPr>
              <w:t xml:space="preserve"> Shortages</w:t>
            </w:r>
          </w:p>
        </w:tc>
      </w:tr>
      <w:tr w:rsidR="0074428D" w:rsidRPr="007505DD">
        <w:trPr>
          <w:trHeight w:val="1200"/>
        </w:trPr>
        <w:tc>
          <w:tcPr>
            <w:tcW w:w="3560" w:type="dxa"/>
            <w:tcBorders>
              <w:top w:val="single" w:sz="4" w:space="0" w:color="auto"/>
              <w:left w:val="single" w:sz="4" w:space="0" w:color="auto"/>
              <w:bottom w:val="single" w:sz="4" w:space="0" w:color="auto"/>
              <w:right w:val="single" w:sz="4" w:space="0" w:color="auto"/>
            </w:tcBorders>
            <w:shd w:val="clear" w:color="000000" w:fill="FFFFFF"/>
            <w:vAlign w:val="bottom"/>
          </w:tcPr>
          <w:p w:rsidR="0074428D" w:rsidRPr="007505DD" w:rsidRDefault="0074428D" w:rsidP="00A57CBE">
            <w:pPr>
              <w:rPr>
                <w:b/>
                <w:bCs/>
                <w:color w:val="000000"/>
                <w:sz w:val="24"/>
                <w:szCs w:val="24"/>
              </w:rPr>
            </w:pPr>
            <w:r w:rsidRPr="007505DD">
              <w:rPr>
                <w:b/>
                <w:bCs/>
                <w:color w:val="000000"/>
                <w:sz w:val="24"/>
                <w:szCs w:val="24"/>
              </w:rPr>
              <w:t>Health Professional Shortage Area (HPSA) Name</w:t>
            </w:r>
          </w:p>
        </w:tc>
        <w:tc>
          <w:tcPr>
            <w:tcW w:w="1115" w:type="dxa"/>
            <w:tcBorders>
              <w:top w:val="single" w:sz="4" w:space="0" w:color="auto"/>
              <w:left w:val="nil"/>
              <w:bottom w:val="single" w:sz="4" w:space="0" w:color="auto"/>
              <w:right w:val="single" w:sz="4" w:space="0" w:color="auto"/>
            </w:tcBorders>
            <w:shd w:val="clear" w:color="000000" w:fill="FFFFFF"/>
            <w:vAlign w:val="bottom"/>
          </w:tcPr>
          <w:p w:rsidR="0074428D" w:rsidRPr="007505DD" w:rsidRDefault="0074428D" w:rsidP="00A57CBE">
            <w:pPr>
              <w:rPr>
                <w:b/>
                <w:bCs/>
                <w:color w:val="000000"/>
                <w:sz w:val="24"/>
                <w:szCs w:val="24"/>
              </w:rPr>
            </w:pPr>
            <w:r w:rsidRPr="007505DD">
              <w:rPr>
                <w:b/>
                <w:bCs/>
                <w:color w:val="000000"/>
                <w:sz w:val="24"/>
                <w:szCs w:val="24"/>
              </w:rPr>
              <w:t># of Provider FTEs</w:t>
            </w:r>
            <w:r w:rsidRPr="007505DD">
              <w:rPr>
                <w:b/>
                <w:bCs/>
                <w:color w:val="000000"/>
                <w:sz w:val="24"/>
                <w:szCs w:val="24"/>
                <w:vertAlign w:val="superscript"/>
              </w:rPr>
              <w:t>2</w:t>
            </w:r>
            <w:r w:rsidRPr="007505DD">
              <w:rPr>
                <w:b/>
                <w:bCs/>
                <w:color w:val="000000"/>
                <w:sz w:val="24"/>
                <w:szCs w:val="24"/>
              </w:rPr>
              <w:t xml:space="preserve"> Short</w:t>
            </w:r>
          </w:p>
        </w:tc>
        <w:tc>
          <w:tcPr>
            <w:tcW w:w="1018" w:type="dxa"/>
            <w:tcBorders>
              <w:top w:val="single" w:sz="4" w:space="0" w:color="auto"/>
              <w:left w:val="nil"/>
              <w:bottom w:val="single" w:sz="4" w:space="0" w:color="auto"/>
              <w:right w:val="single" w:sz="4" w:space="0" w:color="auto"/>
            </w:tcBorders>
            <w:shd w:val="clear" w:color="000000" w:fill="FFFFFF"/>
            <w:vAlign w:val="bottom"/>
          </w:tcPr>
          <w:p w:rsidR="0074428D" w:rsidRPr="007505DD" w:rsidRDefault="0074428D" w:rsidP="00A57CBE">
            <w:pPr>
              <w:rPr>
                <w:b/>
                <w:bCs/>
                <w:color w:val="000000"/>
                <w:sz w:val="24"/>
                <w:szCs w:val="24"/>
              </w:rPr>
            </w:pPr>
            <w:r w:rsidRPr="007505DD">
              <w:rPr>
                <w:b/>
                <w:bCs/>
                <w:color w:val="000000"/>
                <w:sz w:val="24"/>
                <w:szCs w:val="24"/>
              </w:rPr>
              <w:t xml:space="preserve">HPSA Provider </w:t>
            </w:r>
            <w:smartTag w:uri="urn:schemas-microsoft-com:office:smarttags" w:element="stockticker">
              <w:r w:rsidRPr="007505DD">
                <w:rPr>
                  <w:b/>
                  <w:bCs/>
                  <w:color w:val="000000"/>
                  <w:sz w:val="24"/>
                  <w:szCs w:val="24"/>
                </w:rPr>
                <w:t>FTE</w:t>
              </w:r>
            </w:smartTag>
          </w:p>
        </w:tc>
        <w:tc>
          <w:tcPr>
            <w:tcW w:w="1360" w:type="dxa"/>
            <w:tcBorders>
              <w:top w:val="single" w:sz="4" w:space="0" w:color="auto"/>
              <w:left w:val="nil"/>
              <w:bottom w:val="single" w:sz="4" w:space="0" w:color="auto"/>
              <w:right w:val="single" w:sz="4" w:space="0" w:color="auto"/>
            </w:tcBorders>
            <w:shd w:val="clear" w:color="000000" w:fill="FFFFFF"/>
            <w:vAlign w:val="bottom"/>
          </w:tcPr>
          <w:p w:rsidR="0074428D" w:rsidRPr="007505DD" w:rsidRDefault="0074428D" w:rsidP="00A57CBE">
            <w:pPr>
              <w:rPr>
                <w:b/>
                <w:bCs/>
                <w:color w:val="000000"/>
                <w:sz w:val="24"/>
                <w:szCs w:val="24"/>
              </w:rPr>
            </w:pPr>
            <w:r w:rsidRPr="007505DD">
              <w:rPr>
                <w:b/>
                <w:bCs/>
                <w:color w:val="000000"/>
                <w:sz w:val="24"/>
                <w:szCs w:val="24"/>
              </w:rPr>
              <w:t>HPSA Designation Population</w:t>
            </w:r>
          </w:p>
        </w:tc>
        <w:tc>
          <w:tcPr>
            <w:tcW w:w="1312" w:type="dxa"/>
            <w:tcBorders>
              <w:top w:val="single" w:sz="4" w:space="0" w:color="auto"/>
              <w:left w:val="nil"/>
              <w:bottom w:val="single" w:sz="4" w:space="0" w:color="auto"/>
              <w:right w:val="single" w:sz="4" w:space="0" w:color="auto"/>
            </w:tcBorders>
            <w:shd w:val="clear" w:color="000000" w:fill="FFFFFF"/>
            <w:vAlign w:val="bottom"/>
          </w:tcPr>
          <w:p w:rsidR="0074428D" w:rsidRPr="007505DD" w:rsidRDefault="0074428D" w:rsidP="00A57CBE">
            <w:pPr>
              <w:rPr>
                <w:b/>
                <w:bCs/>
                <w:color w:val="000000"/>
                <w:sz w:val="24"/>
                <w:szCs w:val="24"/>
              </w:rPr>
            </w:pPr>
            <w:r w:rsidRPr="007505DD">
              <w:rPr>
                <w:b/>
                <w:bCs/>
                <w:color w:val="000000"/>
                <w:sz w:val="24"/>
                <w:szCs w:val="24"/>
              </w:rPr>
              <w:t>Population to Provider Ratio</w:t>
            </w:r>
          </w:p>
        </w:tc>
        <w:tc>
          <w:tcPr>
            <w:tcW w:w="888" w:type="dxa"/>
            <w:tcBorders>
              <w:top w:val="single" w:sz="4" w:space="0" w:color="auto"/>
              <w:left w:val="nil"/>
              <w:bottom w:val="single" w:sz="4" w:space="0" w:color="auto"/>
              <w:right w:val="single" w:sz="4" w:space="0" w:color="auto"/>
            </w:tcBorders>
            <w:shd w:val="clear" w:color="000000" w:fill="FFFFFF"/>
            <w:vAlign w:val="bottom"/>
          </w:tcPr>
          <w:p w:rsidR="0074428D" w:rsidRPr="007505DD" w:rsidRDefault="0074428D" w:rsidP="00A57CBE">
            <w:pPr>
              <w:rPr>
                <w:b/>
                <w:bCs/>
                <w:color w:val="000000"/>
                <w:sz w:val="24"/>
                <w:szCs w:val="24"/>
              </w:rPr>
            </w:pPr>
            <w:r w:rsidRPr="007505DD">
              <w:rPr>
                <w:b/>
                <w:bCs/>
                <w:color w:val="000000"/>
                <w:sz w:val="24"/>
                <w:szCs w:val="24"/>
              </w:rPr>
              <w:t>HPSA Score</w:t>
            </w:r>
          </w:p>
        </w:tc>
      </w:tr>
      <w:tr w:rsidR="0074428D" w:rsidRPr="007505DD">
        <w:trPr>
          <w:trHeight w:val="377"/>
        </w:trPr>
        <w:tc>
          <w:tcPr>
            <w:tcW w:w="3560" w:type="dxa"/>
            <w:tcBorders>
              <w:top w:val="nil"/>
              <w:left w:val="single" w:sz="4" w:space="0" w:color="auto"/>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r w:rsidRPr="007505DD">
              <w:rPr>
                <w:color w:val="000000"/>
                <w:sz w:val="24"/>
                <w:szCs w:val="24"/>
              </w:rPr>
              <w:t>Eastern Elko/Wendover</w:t>
            </w:r>
          </w:p>
        </w:tc>
        <w:tc>
          <w:tcPr>
            <w:tcW w:w="1115"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1.29</w:t>
            </w:r>
          </w:p>
        </w:tc>
        <w:tc>
          <w:tcPr>
            <w:tcW w:w="101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0</w:t>
            </w:r>
          </w:p>
        </w:tc>
        <w:tc>
          <w:tcPr>
            <w:tcW w:w="1360"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6</w:t>
            </w:r>
            <w:r>
              <w:rPr>
                <w:color w:val="000000"/>
                <w:sz w:val="24"/>
                <w:szCs w:val="24"/>
              </w:rPr>
              <w:t>,</w:t>
            </w:r>
            <w:r w:rsidRPr="007505DD">
              <w:rPr>
                <w:color w:val="000000"/>
                <w:sz w:val="24"/>
                <w:szCs w:val="24"/>
              </w:rPr>
              <w:t>446</w:t>
            </w:r>
          </w:p>
        </w:tc>
        <w:tc>
          <w:tcPr>
            <w:tcW w:w="1312"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r w:rsidRPr="007505DD">
              <w:rPr>
                <w:color w:val="000000"/>
                <w:sz w:val="24"/>
                <w:szCs w:val="24"/>
              </w:rPr>
              <w:t>6</w:t>
            </w:r>
            <w:r>
              <w:rPr>
                <w:color w:val="000000"/>
                <w:sz w:val="24"/>
                <w:szCs w:val="24"/>
              </w:rPr>
              <w:t>,</w:t>
            </w:r>
            <w:r w:rsidRPr="007505DD">
              <w:rPr>
                <w:color w:val="000000"/>
                <w:sz w:val="24"/>
                <w:szCs w:val="24"/>
              </w:rPr>
              <w:t>446:0</w:t>
            </w:r>
          </w:p>
        </w:tc>
        <w:tc>
          <w:tcPr>
            <w:tcW w:w="88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16</w:t>
            </w:r>
          </w:p>
        </w:tc>
      </w:tr>
      <w:tr w:rsidR="0074428D" w:rsidRPr="007505DD">
        <w:trPr>
          <w:trHeight w:val="300"/>
        </w:trPr>
        <w:tc>
          <w:tcPr>
            <w:tcW w:w="3560" w:type="dxa"/>
            <w:tcBorders>
              <w:top w:val="nil"/>
              <w:left w:val="single" w:sz="4" w:space="0" w:color="auto"/>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smartTag w:uri="urn:schemas-microsoft-com:office:smarttags" w:element="PlaceName">
              <w:smartTag w:uri="urn:schemas-microsoft-com:office:smarttags" w:element="place">
                <w:r w:rsidRPr="007505DD">
                  <w:rPr>
                    <w:color w:val="000000"/>
                    <w:sz w:val="24"/>
                    <w:szCs w:val="24"/>
                  </w:rPr>
                  <w:t>Esmeralda</w:t>
                </w:r>
              </w:smartTag>
              <w:r w:rsidRPr="007505DD">
                <w:rPr>
                  <w:color w:val="000000"/>
                  <w:sz w:val="24"/>
                  <w:szCs w:val="24"/>
                </w:rPr>
                <w:t xml:space="preserve"> </w:t>
              </w:r>
              <w:smartTag w:uri="urn:schemas-microsoft-com:office:smarttags" w:element="PlaceName">
                <w:r w:rsidRPr="007505DD">
                  <w:rPr>
                    <w:color w:val="000000"/>
                    <w:sz w:val="24"/>
                    <w:szCs w:val="24"/>
                  </w:rPr>
                  <w:t>County</w:t>
                </w:r>
              </w:smartTag>
            </w:smartTag>
          </w:p>
        </w:tc>
        <w:tc>
          <w:tcPr>
            <w:tcW w:w="1115"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0.18</w:t>
            </w:r>
          </w:p>
        </w:tc>
        <w:tc>
          <w:tcPr>
            <w:tcW w:w="101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0</w:t>
            </w:r>
          </w:p>
        </w:tc>
        <w:tc>
          <w:tcPr>
            <w:tcW w:w="1360"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892</w:t>
            </w:r>
          </w:p>
        </w:tc>
        <w:tc>
          <w:tcPr>
            <w:tcW w:w="1312"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r w:rsidRPr="007505DD">
              <w:rPr>
                <w:color w:val="000000"/>
                <w:sz w:val="24"/>
                <w:szCs w:val="24"/>
              </w:rPr>
              <w:t>892:0</w:t>
            </w:r>
          </w:p>
        </w:tc>
        <w:tc>
          <w:tcPr>
            <w:tcW w:w="88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6</w:t>
            </w:r>
          </w:p>
        </w:tc>
      </w:tr>
      <w:tr w:rsidR="0074428D" w:rsidRPr="007505DD">
        <w:trPr>
          <w:trHeight w:val="300"/>
        </w:trPr>
        <w:tc>
          <w:tcPr>
            <w:tcW w:w="3560" w:type="dxa"/>
            <w:tcBorders>
              <w:top w:val="nil"/>
              <w:left w:val="single" w:sz="4" w:space="0" w:color="auto"/>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smartTag w:uri="urn:schemas-microsoft-com:office:smarttags" w:element="PlaceName">
              <w:smartTag w:uri="urn:schemas-microsoft-com:office:smarttags" w:element="place">
                <w:r w:rsidRPr="007505DD">
                  <w:rPr>
                    <w:color w:val="000000"/>
                    <w:sz w:val="24"/>
                    <w:szCs w:val="24"/>
                  </w:rPr>
                  <w:t>Lander</w:t>
                </w:r>
              </w:smartTag>
              <w:r w:rsidRPr="007505DD">
                <w:rPr>
                  <w:color w:val="000000"/>
                  <w:sz w:val="24"/>
                  <w:szCs w:val="24"/>
                </w:rPr>
                <w:t xml:space="preserve"> </w:t>
              </w:r>
              <w:smartTag w:uri="urn:schemas-microsoft-com:office:smarttags" w:element="PlaceType">
                <w:r w:rsidRPr="007505DD">
                  <w:rPr>
                    <w:color w:val="000000"/>
                    <w:sz w:val="24"/>
                    <w:szCs w:val="24"/>
                  </w:rPr>
                  <w:t>County</w:t>
                </w:r>
              </w:smartTag>
            </w:smartTag>
          </w:p>
        </w:tc>
        <w:tc>
          <w:tcPr>
            <w:tcW w:w="1115"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0.26</w:t>
            </w:r>
          </w:p>
        </w:tc>
        <w:tc>
          <w:tcPr>
            <w:tcW w:w="101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0.8</w:t>
            </w:r>
          </w:p>
        </w:tc>
        <w:tc>
          <w:tcPr>
            <w:tcW w:w="1360"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5</w:t>
            </w:r>
            <w:r>
              <w:rPr>
                <w:color w:val="000000"/>
                <w:sz w:val="24"/>
                <w:szCs w:val="24"/>
              </w:rPr>
              <w:t>,</w:t>
            </w:r>
            <w:r w:rsidRPr="007505DD">
              <w:rPr>
                <w:color w:val="000000"/>
                <w:sz w:val="24"/>
                <w:szCs w:val="24"/>
              </w:rPr>
              <w:t>318</w:t>
            </w:r>
          </w:p>
        </w:tc>
        <w:tc>
          <w:tcPr>
            <w:tcW w:w="1312"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r w:rsidRPr="007505DD">
              <w:rPr>
                <w:color w:val="000000"/>
                <w:sz w:val="24"/>
                <w:szCs w:val="24"/>
              </w:rPr>
              <w:t>6</w:t>
            </w:r>
            <w:r>
              <w:rPr>
                <w:color w:val="000000"/>
                <w:sz w:val="24"/>
                <w:szCs w:val="24"/>
              </w:rPr>
              <w:t>,</w:t>
            </w:r>
            <w:r w:rsidRPr="007505DD">
              <w:rPr>
                <w:color w:val="000000"/>
                <w:sz w:val="24"/>
                <w:szCs w:val="24"/>
              </w:rPr>
              <w:t>648:1</w:t>
            </w:r>
          </w:p>
        </w:tc>
        <w:tc>
          <w:tcPr>
            <w:tcW w:w="88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12</w:t>
            </w:r>
          </w:p>
        </w:tc>
      </w:tr>
      <w:tr w:rsidR="0074428D" w:rsidRPr="007505DD">
        <w:trPr>
          <w:trHeight w:val="300"/>
        </w:trPr>
        <w:tc>
          <w:tcPr>
            <w:tcW w:w="3560" w:type="dxa"/>
            <w:tcBorders>
              <w:top w:val="nil"/>
              <w:left w:val="single" w:sz="4" w:space="0" w:color="auto"/>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smartTag w:uri="urn:schemas-microsoft-com:office:smarttags" w:element="PlaceName">
              <w:smartTag w:uri="urn:schemas-microsoft-com:office:smarttags" w:element="place">
                <w:r w:rsidRPr="007505DD">
                  <w:rPr>
                    <w:color w:val="000000"/>
                    <w:sz w:val="24"/>
                    <w:szCs w:val="24"/>
                  </w:rPr>
                  <w:t>Lincoln</w:t>
                </w:r>
              </w:smartTag>
              <w:r w:rsidRPr="007505DD">
                <w:rPr>
                  <w:color w:val="000000"/>
                  <w:sz w:val="24"/>
                  <w:szCs w:val="24"/>
                </w:rPr>
                <w:t xml:space="preserve"> </w:t>
              </w:r>
              <w:smartTag w:uri="urn:schemas-microsoft-com:office:smarttags" w:element="PlaceType">
                <w:r w:rsidRPr="007505DD">
                  <w:rPr>
                    <w:color w:val="000000"/>
                    <w:sz w:val="24"/>
                    <w:szCs w:val="24"/>
                  </w:rPr>
                  <w:t>County</w:t>
                </w:r>
              </w:smartTag>
            </w:smartTag>
          </w:p>
        </w:tc>
        <w:tc>
          <w:tcPr>
            <w:tcW w:w="1115"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0.45</w:t>
            </w:r>
          </w:p>
        </w:tc>
        <w:tc>
          <w:tcPr>
            <w:tcW w:w="101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0.5</w:t>
            </w:r>
          </w:p>
        </w:tc>
        <w:tc>
          <w:tcPr>
            <w:tcW w:w="1360"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4</w:t>
            </w:r>
            <w:r>
              <w:rPr>
                <w:color w:val="000000"/>
                <w:sz w:val="24"/>
                <w:szCs w:val="24"/>
              </w:rPr>
              <w:t>,</w:t>
            </w:r>
            <w:r w:rsidRPr="007505DD">
              <w:rPr>
                <w:color w:val="000000"/>
                <w:sz w:val="24"/>
                <w:szCs w:val="24"/>
              </w:rPr>
              <w:t>727</w:t>
            </w:r>
          </w:p>
        </w:tc>
        <w:tc>
          <w:tcPr>
            <w:tcW w:w="1312"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r w:rsidRPr="007505DD">
              <w:rPr>
                <w:color w:val="000000"/>
                <w:sz w:val="24"/>
                <w:szCs w:val="24"/>
              </w:rPr>
              <w:t>9</w:t>
            </w:r>
            <w:r>
              <w:rPr>
                <w:color w:val="000000"/>
                <w:sz w:val="24"/>
                <w:szCs w:val="24"/>
              </w:rPr>
              <w:t>,</w:t>
            </w:r>
            <w:r w:rsidRPr="007505DD">
              <w:rPr>
                <w:color w:val="000000"/>
                <w:sz w:val="24"/>
                <w:szCs w:val="24"/>
              </w:rPr>
              <w:t>454:1</w:t>
            </w:r>
          </w:p>
        </w:tc>
        <w:tc>
          <w:tcPr>
            <w:tcW w:w="88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14</w:t>
            </w:r>
          </w:p>
        </w:tc>
      </w:tr>
      <w:tr w:rsidR="0074428D" w:rsidRPr="007505DD">
        <w:trPr>
          <w:trHeight w:val="300"/>
        </w:trPr>
        <w:tc>
          <w:tcPr>
            <w:tcW w:w="3560" w:type="dxa"/>
            <w:tcBorders>
              <w:top w:val="nil"/>
              <w:left w:val="single" w:sz="4" w:space="0" w:color="auto"/>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smartTag w:uri="urn:schemas-microsoft-com:office:smarttags" w:element="place">
              <w:r w:rsidRPr="007505DD">
                <w:rPr>
                  <w:color w:val="000000"/>
                  <w:sz w:val="24"/>
                  <w:szCs w:val="24"/>
                </w:rPr>
                <w:t>North Clark</w:t>
              </w:r>
            </w:smartTag>
          </w:p>
        </w:tc>
        <w:tc>
          <w:tcPr>
            <w:tcW w:w="1115"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0.27</w:t>
            </w:r>
          </w:p>
        </w:tc>
        <w:tc>
          <w:tcPr>
            <w:tcW w:w="101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6.8</w:t>
            </w:r>
          </w:p>
        </w:tc>
        <w:tc>
          <w:tcPr>
            <w:tcW w:w="1360"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35,333</w:t>
            </w:r>
          </w:p>
        </w:tc>
        <w:tc>
          <w:tcPr>
            <w:tcW w:w="1312"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r w:rsidRPr="007505DD">
              <w:rPr>
                <w:color w:val="000000"/>
                <w:sz w:val="24"/>
                <w:szCs w:val="24"/>
              </w:rPr>
              <w:t>5</w:t>
            </w:r>
            <w:r>
              <w:rPr>
                <w:color w:val="000000"/>
                <w:sz w:val="24"/>
                <w:szCs w:val="24"/>
              </w:rPr>
              <w:t>,</w:t>
            </w:r>
            <w:r w:rsidRPr="007505DD">
              <w:rPr>
                <w:color w:val="000000"/>
                <w:sz w:val="24"/>
                <w:szCs w:val="24"/>
              </w:rPr>
              <w:t>196:1</w:t>
            </w:r>
          </w:p>
        </w:tc>
        <w:tc>
          <w:tcPr>
            <w:tcW w:w="88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10</w:t>
            </w:r>
          </w:p>
        </w:tc>
      </w:tr>
      <w:tr w:rsidR="0074428D" w:rsidRPr="007505DD">
        <w:trPr>
          <w:trHeight w:val="600"/>
        </w:trPr>
        <w:tc>
          <w:tcPr>
            <w:tcW w:w="3560" w:type="dxa"/>
            <w:tcBorders>
              <w:top w:val="nil"/>
              <w:left w:val="single" w:sz="4" w:space="0" w:color="auto"/>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r w:rsidRPr="007505DD">
              <w:rPr>
                <w:color w:val="000000"/>
                <w:sz w:val="24"/>
                <w:szCs w:val="24"/>
              </w:rPr>
              <w:t>Northern Elko Service Area</w:t>
            </w:r>
          </w:p>
        </w:tc>
        <w:tc>
          <w:tcPr>
            <w:tcW w:w="1115"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0.47</w:t>
            </w:r>
          </w:p>
        </w:tc>
        <w:tc>
          <w:tcPr>
            <w:tcW w:w="101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0</w:t>
            </w:r>
          </w:p>
        </w:tc>
        <w:tc>
          <w:tcPr>
            <w:tcW w:w="1360"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2</w:t>
            </w:r>
            <w:r>
              <w:rPr>
                <w:color w:val="000000"/>
                <w:sz w:val="24"/>
                <w:szCs w:val="24"/>
              </w:rPr>
              <w:t>,</w:t>
            </w:r>
            <w:r w:rsidRPr="007505DD">
              <w:rPr>
                <w:color w:val="000000"/>
                <w:sz w:val="24"/>
                <w:szCs w:val="24"/>
              </w:rPr>
              <w:t>347</w:t>
            </w:r>
          </w:p>
        </w:tc>
        <w:tc>
          <w:tcPr>
            <w:tcW w:w="1312"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r w:rsidRPr="007505DD">
              <w:rPr>
                <w:color w:val="000000"/>
                <w:sz w:val="24"/>
                <w:szCs w:val="24"/>
              </w:rPr>
              <w:t>2</w:t>
            </w:r>
            <w:r>
              <w:rPr>
                <w:color w:val="000000"/>
                <w:sz w:val="24"/>
                <w:szCs w:val="24"/>
              </w:rPr>
              <w:t>,</w:t>
            </w:r>
            <w:r w:rsidRPr="007505DD">
              <w:rPr>
                <w:color w:val="000000"/>
                <w:sz w:val="24"/>
                <w:szCs w:val="24"/>
              </w:rPr>
              <w:t>347:0</w:t>
            </w:r>
          </w:p>
        </w:tc>
        <w:tc>
          <w:tcPr>
            <w:tcW w:w="88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14</w:t>
            </w:r>
          </w:p>
        </w:tc>
      </w:tr>
      <w:tr w:rsidR="0074428D" w:rsidRPr="007505DD">
        <w:trPr>
          <w:trHeight w:val="300"/>
        </w:trPr>
        <w:tc>
          <w:tcPr>
            <w:tcW w:w="3560" w:type="dxa"/>
            <w:tcBorders>
              <w:top w:val="nil"/>
              <w:left w:val="single" w:sz="4" w:space="0" w:color="auto"/>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r w:rsidRPr="007505DD">
              <w:rPr>
                <w:color w:val="000000"/>
                <w:sz w:val="24"/>
                <w:szCs w:val="24"/>
              </w:rPr>
              <w:t xml:space="preserve">Northern </w:t>
            </w:r>
            <w:smartTag w:uri="urn:schemas-microsoft-com:office:smarttags" w:element="PlaceName">
              <w:smartTag w:uri="urn:schemas-microsoft-com:office:smarttags" w:element="place">
                <w:r w:rsidRPr="007505DD">
                  <w:rPr>
                    <w:color w:val="000000"/>
                    <w:sz w:val="24"/>
                    <w:szCs w:val="24"/>
                  </w:rPr>
                  <w:t>Nye</w:t>
                </w:r>
              </w:smartTag>
              <w:r w:rsidRPr="007505DD">
                <w:rPr>
                  <w:color w:val="000000"/>
                  <w:sz w:val="24"/>
                  <w:szCs w:val="24"/>
                </w:rPr>
                <w:t xml:space="preserve"> </w:t>
              </w:r>
              <w:smartTag w:uri="urn:schemas-microsoft-com:office:smarttags" w:element="PlaceType">
                <w:r w:rsidRPr="007505DD">
                  <w:rPr>
                    <w:color w:val="000000"/>
                    <w:sz w:val="24"/>
                    <w:szCs w:val="24"/>
                  </w:rPr>
                  <w:t>County</w:t>
                </w:r>
              </w:smartTag>
            </w:smartTag>
          </w:p>
        </w:tc>
        <w:tc>
          <w:tcPr>
            <w:tcW w:w="1115"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0.16</w:t>
            </w:r>
          </w:p>
        </w:tc>
        <w:tc>
          <w:tcPr>
            <w:tcW w:w="101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1.2</w:t>
            </w:r>
          </w:p>
        </w:tc>
        <w:tc>
          <w:tcPr>
            <w:tcW w:w="1360"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5</w:t>
            </w:r>
            <w:r>
              <w:rPr>
                <w:color w:val="000000"/>
                <w:sz w:val="24"/>
                <w:szCs w:val="24"/>
              </w:rPr>
              <w:t>,</w:t>
            </w:r>
            <w:r w:rsidRPr="007505DD">
              <w:rPr>
                <w:color w:val="000000"/>
                <w:sz w:val="24"/>
                <w:szCs w:val="24"/>
              </w:rPr>
              <w:t>446</w:t>
            </w:r>
          </w:p>
        </w:tc>
        <w:tc>
          <w:tcPr>
            <w:tcW w:w="1312"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r w:rsidRPr="007505DD">
              <w:rPr>
                <w:color w:val="000000"/>
                <w:sz w:val="24"/>
                <w:szCs w:val="24"/>
              </w:rPr>
              <w:t>4</w:t>
            </w:r>
            <w:r>
              <w:rPr>
                <w:color w:val="000000"/>
                <w:sz w:val="24"/>
                <w:szCs w:val="24"/>
              </w:rPr>
              <w:t>,</w:t>
            </w:r>
            <w:r w:rsidRPr="007505DD">
              <w:rPr>
                <w:color w:val="000000"/>
                <w:sz w:val="24"/>
                <w:szCs w:val="24"/>
              </w:rPr>
              <w:t>538:1</w:t>
            </w:r>
          </w:p>
        </w:tc>
        <w:tc>
          <w:tcPr>
            <w:tcW w:w="88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8</w:t>
            </w:r>
          </w:p>
        </w:tc>
      </w:tr>
      <w:tr w:rsidR="0074428D" w:rsidRPr="007505DD">
        <w:trPr>
          <w:trHeight w:val="300"/>
        </w:trPr>
        <w:tc>
          <w:tcPr>
            <w:tcW w:w="3560" w:type="dxa"/>
            <w:tcBorders>
              <w:top w:val="nil"/>
              <w:left w:val="single" w:sz="4" w:space="0" w:color="auto"/>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smartTag w:uri="urn:schemas-microsoft-com:office:smarttags" w:element="PlaceName">
              <w:smartTag w:uri="urn:schemas-microsoft-com:office:smarttags" w:element="place">
                <w:r w:rsidRPr="007505DD">
                  <w:rPr>
                    <w:color w:val="000000"/>
                    <w:sz w:val="24"/>
                    <w:szCs w:val="24"/>
                  </w:rPr>
                  <w:t>Pershing</w:t>
                </w:r>
              </w:smartTag>
              <w:r w:rsidRPr="007505DD">
                <w:rPr>
                  <w:color w:val="000000"/>
                  <w:sz w:val="24"/>
                  <w:szCs w:val="24"/>
                </w:rPr>
                <w:t xml:space="preserve"> </w:t>
              </w:r>
              <w:smartTag w:uri="urn:schemas-microsoft-com:office:smarttags" w:element="PlaceType">
                <w:r w:rsidRPr="007505DD">
                  <w:rPr>
                    <w:color w:val="000000"/>
                    <w:sz w:val="24"/>
                    <w:szCs w:val="24"/>
                  </w:rPr>
                  <w:t>County</w:t>
                </w:r>
              </w:smartTag>
            </w:smartTag>
          </w:p>
        </w:tc>
        <w:tc>
          <w:tcPr>
            <w:tcW w:w="1115"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0.25</w:t>
            </w:r>
          </w:p>
        </w:tc>
        <w:tc>
          <w:tcPr>
            <w:tcW w:w="101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0.7</w:t>
            </w:r>
          </w:p>
        </w:tc>
        <w:tc>
          <w:tcPr>
            <w:tcW w:w="1360"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4</w:t>
            </w:r>
            <w:r>
              <w:rPr>
                <w:color w:val="000000"/>
                <w:sz w:val="24"/>
                <w:szCs w:val="24"/>
              </w:rPr>
              <w:t>,</w:t>
            </w:r>
            <w:r w:rsidRPr="007505DD">
              <w:rPr>
                <w:color w:val="000000"/>
                <w:sz w:val="24"/>
                <w:szCs w:val="24"/>
              </w:rPr>
              <w:t>731</w:t>
            </w:r>
          </w:p>
        </w:tc>
        <w:tc>
          <w:tcPr>
            <w:tcW w:w="1312"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r w:rsidRPr="007505DD">
              <w:rPr>
                <w:color w:val="000000"/>
                <w:sz w:val="24"/>
                <w:szCs w:val="24"/>
              </w:rPr>
              <w:t>6</w:t>
            </w:r>
            <w:r>
              <w:rPr>
                <w:color w:val="000000"/>
                <w:sz w:val="24"/>
                <w:szCs w:val="24"/>
              </w:rPr>
              <w:t>,</w:t>
            </w:r>
            <w:r w:rsidRPr="007505DD">
              <w:rPr>
                <w:color w:val="000000"/>
                <w:sz w:val="24"/>
                <w:szCs w:val="24"/>
              </w:rPr>
              <w:t>759:1</w:t>
            </w:r>
          </w:p>
        </w:tc>
        <w:tc>
          <w:tcPr>
            <w:tcW w:w="88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14</w:t>
            </w:r>
          </w:p>
        </w:tc>
      </w:tr>
      <w:tr w:rsidR="0074428D" w:rsidRPr="007505DD">
        <w:trPr>
          <w:trHeight w:val="300"/>
        </w:trPr>
        <w:tc>
          <w:tcPr>
            <w:tcW w:w="3560" w:type="dxa"/>
            <w:tcBorders>
              <w:top w:val="nil"/>
              <w:left w:val="single" w:sz="4" w:space="0" w:color="auto"/>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r w:rsidRPr="007505DD">
              <w:rPr>
                <w:color w:val="000000"/>
                <w:sz w:val="24"/>
                <w:szCs w:val="24"/>
              </w:rPr>
              <w:t xml:space="preserve">Southern </w:t>
            </w:r>
            <w:smartTag w:uri="urn:schemas-microsoft-com:office:smarttags" w:element="PlaceName">
              <w:smartTag w:uri="urn:schemas-microsoft-com:office:smarttags" w:element="place">
                <w:r w:rsidRPr="007505DD">
                  <w:rPr>
                    <w:color w:val="000000"/>
                    <w:sz w:val="24"/>
                    <w:szCs w:val="24"/>
                  </w:rPr>
                  <w:t>Nye</w:t>
                </w:r>
              </w:smartTag>
              <w:r w:rsidRPr="007505DD">
                <w:rPr>
                  <w:color w:val="000000"/>
                  <w:sz w:val="24"/>
                  <w:szCs w:val="24"/>
                </w:rPr>
                <w:t xml:space="preserve"> </w:t>
              </w:r>
              <w:smartTag w:uri="urn:schemas-microsoft-com:office:smarttags" w:element="PlaceType">
                <w:r w:rsidRPr="007505DD">
                  <w:rPr>
                    <w:color w:val="000000"/>
                    <w:sz w:val="24"/>
                    <w:szCs w:val="24"/>
                  </w:rPr>
                  <w:t>County</w:t>
                </w:r>
              </w:smartTag>
            </w:smartTag>
          </w:p>
        </w:tc>
        <w:tc>
          <w:tcPr>
            <w:tcW w:w="1115"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2.38</w:t>
            </w:r>
          </w:p>
        </w:tc>
        <w:tc>
          <w:tcPr>
            <w:tcW w:w="101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7.1</w:t>
            </w:r>
          </w:p>
        </w:tc>
        <w:tc>
          <w:tcPr>
            <w:tcW w:w="1360"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37,933</w:t>
            </w:r>
          </w:p>
        </w:tc>
        <w:tc>
          <w:tcPr>
            <w:tcW w:w="1312"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r w:rsidRPr="007505DD">
              <w:rPr>
                <w:color w:val="000000"/>
                <w:sz w:val="24"/>
                <w:szCs w:val="24"/>
              </w:rPr>
              <w:t>5</w:t>
            </w:r>
            <w:r>
              <w:rPr>
                <w:color w:val="000000"/>
                <w:sz w:val="24"/>
                <w:szCs w:val="24"/>
              </w:rPr>
              <w:t>,</w:t>
            </w:r>
            <w:r w:rsidRPr="007505DD">
              <w:rPr>
                <w:color w:val="000000"/>
                <w:sz w:val="24"/>
                <w:szCs w:val="24"/>
              </w:rPr>
              <w:t>343:1</w:t>
            </w:r>
          </w:p>
        </w:tc>
        <w:tc>
          <w:tcPr>
            <w:tcW w:w="88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14</w:t>
            </w:r>
          </w:p>
        </w:tc>
      </w:tr>
      <w:tr w:rsidR="0074428D" w:rsidRPr="007505DD">
        <w:trPr>
          <w:trHeight w:val="600"/>
        </w:trPr>
        <w:tc>
          <w:tcPr>
            <w:tcW w:w="3560" w:type="dxa"/>
            <w:tcBorders>
              <w:top w:val="nil"/>
              <w:left w:val="single" w:sz="4" w:space="0" w:color="auto"/>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r w:rsidRPr="007505DD">
              <w:rPr>
                <w:color w:val="000000"/>
                <w:sz w:val="24"/>
                <w:szCs w:val="24"/>
              </w:rPr>
              <w:lastRenderedPageBreak/>
              <w:t>Low Income - Central Las Vegas</w:t>
            </w:r>
            <w:r w:rsidRPr="007505DD">
              <w:rPr>
                <w:color w:val="000000"/>
                <w:sz w:val="24"/>
                <w:szCs w:val="24"/>
                <w:vertAlign w:val="superscript"/>
              </w:rPr>
              <w:t>3</w:t>
            </w:r>
          </w:p>
        </w:tc>
        <w:tc>
          <w:tcPr>
            <w:tcW w:w="1115"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0.51</w:t>
            </w:r>
          </w:p>
        </w:tc>
        <w:tc>
          <w:tcPr>
            <w:tcW w:w="101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4.5</w:t>
            </w:r>
          </w:p>
        </w:tc>
        <w:tc>
          <w:tcPr>
            <w:tcW w:w="1360"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20,019</w:t>
            </w:r>
          </w:p>
        </w:tc>
        <w:tc>
          <w:tcPr>
            <w:tcW w:w="1312"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r w:rsidRPr="007505DD">
              <w:rPr>
                <w:color w:val="000000"/>
                <w:sz w:val="24"/>
                <w:szCs w:val="24"/>
              </w:rPr>
              <w:t>4</w:t>
            </w:r>
            <w:r>
              <w:rPr>
                <w:color w:val="000000"/>
                <w:sz w:val="24"/>
                <w:szCs w:val="24"/>
              </w:rPr>
              <w:t>,</w:t>
            </w:r>
            <w:r w:rsidRPr="007505DD">
              <w:rPr>
                <w:color w:val="000000"/>
                <w:sz w:val="24"/>
                <w:szCs w:val="24"/>
              </w:rPr>
              <w:t>449:1</w:t>
            </w:r>
          </w:p>
        </w:tc>
        <w:tc>
          <w:tcPr>
            <w:tcW w:w="88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9</w:t>
            </w:r>
          </w:p>
        </w:tc>
      </w:tr>
      <w:tr w:rsidR="0074428D" w:rsidRPr="007505DD">
        <w:trPr>
          <w:trHeight w:val="600"/>
        </w:trPr>
        <w:tc>
          <w:tcPr>
            <w:tcW w:w="3560" w:type="dxa"/>
            <w:tcBorders>
              <w:top w:val="nil"/>
              <w:left w:val="single" w:sz="4" w:space="0" w:color="auto"/>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r w:rsidRPr="007505DD">
              <w:rPr>
                <w:color w:val="000000"/>
                <w:sz w:val="24"/>
                <w:szCs w:val="24"/>
              </w:rPr>
              <w:t>Low Income - East Central Las Vegas</w:t>
            </w:r>
            <w:r w:rsidRPr="007505DD">
              <w:rPr>
                <w:color w:val="000000"/>
                <w:sz w:val="24"/>
                <w:szCs w:val="24"/>
                <w:vertAlign w:val="superscript"/>
              </w:rPr>
              <w:t>3</w:t>
            </w:r>
          </w:p>
        </w:tc>
        <w:tc>
          <w:tcPr>
            <w:tcW w:w="1115"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17.71</w:t>
            </w:r>
          </w:p>
        </w:tc>
        <w:tc>
          <w:tcPr>
            <w:tcW w:w="101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6.8</w:t>
            </w:r>
          </w:p>
        </w:tc>
        <w:tc>
          <w:tcPr>
            <w:tcW w:w="1360"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98,029</w:t>
            </w:r>
          </w:p>
        </w:tc>
        <w:tc>
          <w:tcPr>
            <w:tcW w:w="1312"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r w:rsidRPr="007505DD">
              <w:rPr>
                <w:color w:val="000000"/>
                <w:sz w:val="24"/>
                <w:szCs w:val="24"/>
              </w:rPr>
              <w:t>14</w:t>
            </w:r>
            <w:r>
              <w:rPr>
                <w:color w:val="000000"/>
                <w:sz w:val="24"/>
                <w:szCs w:val="24"/>
              </w:rPr>
              <w:t>,</w:t>
            </w:r>
            <w:r w:rsidRPr="007505DD">
              <w:rPr>
                <w:color w:val="000000"/>
                <w:sz w:val="24"/>
                <w:szCs w:val="24"/>
              </w:rPr>
              <w:t>416:1</w:t>
            </w:r>
          </w:p>
        </w:tc>
        <w:tc>
          <w:tcPr>
            <w:tcW w:w="88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17</w:t>
            </w:r>
          </w:p>
        </w:tc>
      </w:tr>
      <w:tr w:rsidR="0074428D" w:rsidRPr="007505DD">
        <w:trPr>
          <w:trHeight w:val="368"/>
        </w:trPr>
        <w:tc>
          <w:tcPr>
            <w:tcW w:w="3560" w:type="dxa"/>
            <w:tcBorders>
              <w:top w:val="nil"/>
              <w:left w:val="single" w:sz="4" w:space="0" w:color="auto"/>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r w:rsidRPr="007505DD">
              <w:rPr>
                <w:color w:val="000000"/>
                <w:sz w:val="24"/>
                <w:szCs w:val="24"/>
              </w:rPr>
              <w:t xml:space="preserve">Low Income - </w:t>
            </w:r>
            <w:smartTag w:uri="urn:schemas-microsoft-com:office:smarttags" w:element="place">
              <w:r w:rsidRPr="007505DD">
                <w:rPr>
                  <w:color w:val="000000"/>
                  <w:sz w:val="24"/>
                  <w:szCs w:val="24"/>
                </w:rPr>
                <w:t>Lyon</w:t>
              </w:r>
            </w:smartTag>
            <w:r w:rsidRPr="007505DD">
              <w:rPr>
                <w:color w:val="000000"/>
                <w:sz w:val="24"/>
                <w:szCs w:val="24"/>
              </w:rPr>
              <w:t xml:space="preserve"> County</w:t>
            </w:r>
            <w:r w:rsidRPr="007505DD">
              <w:rPr>
                <w:color w:val="000000"/>
                <w:sz w:val="24"/>
                <w:szCs w:val="24"/>
                <w:vertAlign w:val="superscript"/>
              </w:rPr>
              <w:t>3</w:t>
            </w:r>
          </w:p>
        </w:tc>
        <w:tc>
          <w:tcPr>
            <w:tcW w:w="1115"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4.08</w:t>
            </w:r>
          </w:p>
        </w:tc>
        <w:tc>
          <w:tcPr>
            <w:tcW w:w="101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0</w:t>
            </w:r>
          </w:p>
        </w:tc>
        <w:tc>
          <w:tcPr>
            <w:tcW w:w="1360"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16,323</w:t>
            </w:r>
          </w:p>
        </w:tc>
        <w:tc>
          <w:tcPr>
            <w:tcW w:w="1312"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r w:rsidRPr="007505DD">
              <w:rPr>
                <w:color w:val="000000"/>
                <w:sz w:val="24"/>
                <w:szCs w:val="24"/>
              </w:rPr>
              <w:t>16</w:t>
            </w:r>
            <w:r>
              <w:rPr>
                <w:color w:val="000000"/>
                <w:sz w:val="24"/>
                <w:szCs w:val="24"/>
              </w:rPr>
              <w:t>,</w:t>
            </w:r>
            <w:r w:rsidRPr="007505DD">
              <w:rPr>
                <w:color w:val="000000"/>
                <w:sz w:val="24"/>
                <w:szCs w:val="24"/>
              </w:rPr>
              <w:t>323:0</w:t>
            </w:r>
          </w:p>
        </w:tc>
        <w:tc>
          <w:tcPr>
            <w:tcW w:w="88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16</w:t>
            </w:r>
          </w:p>
        </w:tc>
      </w:tr>
      <w:tr w:rsidR="0074428D" w:rsidRPr="007505DD">
        <w:trPr>
          <w:trHeight w:val="600"/>
        </w:trPr>
        <w:tc>
          <w:tcPr>
            <w:tcW w:w="3560" w:type="dxa"/>
            <w:tcBorders>
              <w:top w:val="nil"/>
              <w:left w:val="single" w:sz="4" w:space="0" w:color="auto"/>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r w:rsidRPr="007505DD">
              <w:rPr>
                <w:color w:val="000000"/>
                <w:sz w:val="24"/>
                <w:szCs w:val="24"/>
              </w:rPr>
              <w:t>Low Income - Mineral County</w:t>
            </w:r>
            <w:r w:rsidRPr="007505DD">
              <w:rPr>
                <w:color w:val="000000"/>
                <w:sz w:val="24"/>
                <w:szCs w:val="24"/>
                <w:vertAlign w:val="superscript"/>
              </w:rPr>
              <w:t>3</w:t>
            </w:r>
          </w:p>
        </w:tc>
        <w:tc>
          <w:tcPr>
            <w:tcW w:w="1115"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0.29</w:t>
            </w:r>
          </w:p>
        </w:tc>
        <w:tc>
          <w:tcPr>
            <w:tcW w:w="101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0.1</w:t>
            </w:r>
          </w:p>
        </w:tc>
        <w:tc>
          <w:tcPr>
            <w:tcW w:w="1360"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1543</w:t>
            </w:r>
          </w:p>
        </w:tc>
        <w:tc>
          <w:tcPr>
            <w:tcW w:w="1312"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r w:rsidRPr="007505DD">
              <w:rPr>
                <w:color w:val="000000"/>
                <w:sz w:val="24"/>
                <w:szCs w:val="24"/>
              </w:rPr>
              <w:t>15</w:t>
            </w:r>
            <w:r>
              <w:rPr>
                <w:color w:val="000000"/>
                <w:sz w:val="24"/>
                <w:szCs w:val="24"/>
              </w:rPr>
              <w:t>,</w:t>
            </w:r>
            <w:r w:rsidRPr="007505DD">
              <w:rPr>
                <w:color w:val="000000"/>
                <w:sz w:val="24"/>
                <w:szCs w:val="24"/>
              </w:rPr>
              <w:t>430:1</w:t>
            </w:r>
          </w:p>
        </w:tc>
        <w:tc>
          <w:tcPr>
            <w:tcW w:w="88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18</w:t>
            </w:r>
          </w:p>
        </w:tc>
      </w:tr>
      <w:tr w:rsidR="0074428D" w:rsidRPr="007505DD">
        <w:trPr>
          <w:trHeight w:val="395"/>
        </w:trPr>
        <w:tc>
          <w:tcPr>
            <w:tcW w:w="3560" w:type="dxa"/>
            <w:tcBorders>
              <w:top w:val="nil"/>
              <w:left w:val="single" w:sz="4" w:space="0" w:color="auto"/>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r w:rsidRPr="007505DD">
              <w:rPr>
                <w:color w:val="000000"/>
                <w:sz w:val="24"/>
                <w:szCs w:val="24"/>
              </w:rPr>
              <w:t>Low Income - Reno/Sparks</w:t>
            </w:r>
            <w:r w:rsidRPr="007505DD">
              <w:rPr>
                <w:color w:val="000000"/>
                <w:sz w:val="24"/>
                <w:szCs w:val="24"/>
                <w:vertAlign w:val="superscript"/>
              </w:rPr>
              <w:t>3</w:t>
            </w:r>
          </w:p>
        </w:tc>
        <w:tc>
          <w:tcPr>
            <w:tcW w:w="1115"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9.45</w:t>
            </w:r>
          </w:p>
        </w:tc>
        <w:tc>
          <w:tcPr>
            <w:tcW w:w="101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8.2</w:t>
            </w:r>
          </w:p>
        </w:tc>
        <w:tc>
          <w:tcPr>
            <w:tcW w:w="1360"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70,593</w:t>
            </w:r>
          </w:p>
        </w:tc>
        <w:tc>
          <w:tcPr>
            <w:tcW w:w="1312"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r w:rsidRPr="007505DD">
              <w:rPr>
                <w:color w:val="000000"/>
                <w:sz w:val="24"/>
                <w:szCs w:val="24"/>
              </w:rPr>
              <w:t>8</w:t>
            </w:r>
            <w:r>
              <w:rPr>
                <w:color w:val="000000"/>
                <w:sz w:val="24"/>
                <w:szCs w:val="24"/>
              </w:rPr>
              <w:t>,</w:t>
            </w:r>
            <w:r w:rsidRPr="007505DD">
              <w:rPr>
                <w:color w:val="000000"/>
                <w:sz w:val="24"/>
                <w:szCs w:val="24"/>
              </w:rPr>
              <w:t>609:1</w:t>
            </w:r>
          </w:p>
        </w:tc>
        <w:tc>
          <w:tcPr>
            <w:tcW w:w="88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18</w:t>
            </w:r>
          </w:p>
        </w:tc>
      </w:tr>
      <w:tr w:rsidR="0074428D" w:rsidRPr="007505DD">
        <w:trPr>
          <w:trHeight w:val="600"/>
        </w:trPr>
        <w:tc>
          <w:tcPr>
            <w:tcW w:w="3560" w:type="dxa"/>
            <w:tcBorders>
              <w:top w:val="nil"/>
              <w:left w:val="single" w:sz="4" w:space="0" w:color="auto"/>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r w:rsidRPr="007505DD">
              <w:rPr>
                <w:color w:val="000000"/>
                <w:sz w:val="24"/>
                <w:szCs w:val="24"/>
              </w:rPr>
              <w:t>Low Income - South Central Las Vegas</w:t>
            </w:r>
            <w:r w:rsidRPr="007505DD">
              <w:rPr>
                <w:color w:val="000000"/>
                <w:sz w:val="24"/>
                <w:szCs w:val="24"/>
                <w:vertAlign w:val="superscript"/>
              </w:rPr>
              <w:t>3</w:t>
            </w:r>
          </w:p>
        </w:tc>
        <w:tc>
          <w:tcPr>
            <w:tcW w:w="1115"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15.69</w:t>
            </w:r>
          </w:p>
        </w:tc>
        <w:tc>
          <w:tcPr>
            <w:tcW w:w="101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5</w:t>
            </w:r>
          </w:p>
        </w:tc>
        <w:tc>
          <w:tcPr>
            <w:tcW w:w="1360"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82,761</w:t>
            </w:r>
          </w:p>
        </w:tc>
        <w:tc>
          <w:tcPr>
            <w:tcW w:w="1312"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r w:rsidRPr="007505DD">
              <w:rPr>
                <w:color w:val="000000"/>
                <w:sz w:val="24"/>
                <w:szCs w:val="24"/>
              </w:rPr>
              <w:t>16</w:t>
            </w:r>
            <w:r>
              <w:rPr>
                <w:color w:val="000000"/>
                <w:sz w:val="24"/>
                <w:szCs w:val="24"/>
              </w:rPr>
              <w:t>,</w:t>
            </w:r>
            <w:r w:rsidRPr="007505DD">
              <w:rPr>
                <w:color w:val="000000"/>
                <w:sz w:val="24"/>
                <w:szCs w:val="24"/>
              </w:rPr>
              <w:t>552:1</w:t>
            </w:r>
          </w:p>
        </w:tc>
        <w:tc>
          <w:tcPr>
            <w:tcW w:w="88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16</w:t>
            </w:r>
          </w:p>
        </w:tc>
      </w:tr>
      <w:tr w:rsidR="0074428D" w:rsidRPr="007505DD">
        <w:trPr>
          <w:trHeight w:val="620"/>
        </w:trPr>
        <w:tc>
          <w:tcPr>
            <w:tcW w:w="3560" w:type="dxa"/>
            <w:tcBorders>
              <w:top w:val="nil"/>
              <w:left w:val="single" w:sz="4" w:space="0" w:color="auto"/>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r w:rsidRPr="007505DD">
              <w:rPr>
                <w:color w:val="000000"/>
                <w:sz w:val="24"/>
                <w:szCs w:val="24"/>
              </w:rPr>
              <w:t xml:space="preserve">Low Income - </w:t>
            </w:r>
            <w:smartTag w:uri="urn:schemas-microsoft-com:office:smarttags" w:element="place">
              <w:r w:rsidRPr="007505DD">
                <w:rPr>
                  <w:color w:val="000000"/>
                  <w:sz w:val="24"/>
                  <w:szCs w:val="24"/>
                </w:rPr>
                <w:t>South Clark</w:t>
              </w:r>
            </w:smartTag>
            <w:r w:rsidRPr="007505DD">
              <w:rPr>
                <w:color w:val="000000"/>
                <w:sz w:val="24"/>
                <w:szCs w:val="24"/>
              </w:rPr>
              <w:t xml:space="preserve"> - Searchlight/Laughlin</w:t>
            </w:r>
            <w:r w:rsidRPr="007505DD">
              <w:rPr>
                <w:color w:val="000000"/>
                <w:sz w:val="24"/>
                <w:szCs w:val="24"/>
                <w:vertAlign w:val="superscript"/>
              </w:rPr>
              <w:t>3</w:t>
            </w:r>
          </w:p>
        </w:tc>
        <w:tc>
          <w:tcPr>
            <w:tcW w:w="1115"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r w:rsidRPr="007505DD">
              <w:rPr>
                <w:color w:val="000000"/>
                <w:sz w:val="24"/>
                <w:szCs w:val="24"/>
              </w:rPr>
              <w:t> </w:t>
            </w:r>
          </w:p>
        </w:tc>
        <w:tc>
          <w:tcPr>
            <w:tcW w:w="101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0</w:t>
            </w:r>
          </w:p>
        </w:tc>
        <w:tc>
          <w:tcPr>
            <w:tcW w:w="1360"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2885</w:t>
            </w:r>
          </w:p>
        </w:tc>
        <w:tc>
          <w:tcPr>
            <w:tcW w:w="1312"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r w:rsidRPr="007505DD">
              <w:rPr>
                <w:color w:val="000000"/>
                <w:sz w:val="24"/>
                <w:szCs w:val="24"/>
              </w:rPr>
              <w:t>2</w:t>
            </w:r>
            <w:r>
              <w:rPr>
                <w:color w:val="000000"/>
                <w:sz w:val="24"/>
                <w:szCs w:val="24"/>
              </w:rPr>
              <w:t>,</w:t>
            </w:r>
            <w:r w:rsidRPr="007505DD">
              <w:rPr>
                <w:color w:val="000000"/>
                <w:sz w:val="24"/>
                <w:szCs w:val="24"/>
              </w:rPr>
              <w:t>885:0</w:t>
            </w:r>
          </w:p>
        </w:tc>
        <w:tc>
          <w:tcPr>
            <w:tcW w:w="88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14</w:t>
            </w:r>
          </w:p>
        </w:tc>
      </w:tr>
      <w:tr w:rsidR="0074428D" w:rsidRPr="007505DD">
        <w:trPr>
          <w:trHeight w:val="600"/>
        </w:trPr>
        <w:tc>
          <w:tcPr>
            <w:tcW w:w="3560" w:type="dxa"/>
            <w:tcBorders>
              <w:top w:val="nil"/>
              <w:left w:val="single" w:sz="4" w:space="0" w:color="auto"/>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r w:rsidRPr="007505DD">
              <w:rPr>
                <w:color w:val="000000"/>
                <w:sz w:val="24"/>
                <w:szCs w:val="24"/>
              </w:rPr>
              <w:t>Low Income - West Central Las Vegas</w:t>
            </w:r>
            <w:r w:rsidRPr="007505DD">
              <w:rPr>
                <w:color w:val="000000"/>
                <w:sz w:val="24"/>
                <w:szCs w:val="24"/>
                <w:vertAlign w:val="superscript"/>
              </w:rPr>
              <w:t>3</w:t>
            </w:r>
          </w:p>
        </w:tc>
        <w:tc>
          <w:tcPr>
            <w:tcW w:w="1115"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7.14</w:t>
            </w:r>
          </w:p>
        </w:tc>
        <w:tc>
          <w:tcPr>
            <w:tcW w:w="101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4.7</w:t>
            </w:r>
          </w:p>
        </w:tc>
        <w:tc>
          <w:tcPr>
            <w:tcW w:w="1360"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47,346</w:t>
            </w:r>
          </w:p>
        </w:tc>
        <w:tc>
          <w:tcPr>
            <w:tcW w:w="1312"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r w:rsidRPr="007505DD">
              <w:rPr>
                <w:color w:val="000000"/>
                <w:sz w:val="24"/>
                <w:szCs w:val="24"/>
              </w:rPr>
              <w:t>10</w:t>
            </w:r>
            <w:r>
              <w:rPr>
                <w:color w:val="000000"/>
                <w:sz w:val="24"/>
                <w:szCs w:val="24"/>
              </w:rPr>
              <w:t>,</w:t>
            </w:r>
            <w:r w:rsidRPr="007505DD">
              <w:rPr>
                <w:color w:val="000000"/>
                <w:sz w:val="24"/>
                <w:szCs w:val="24"/>
              </w:rPr>
              <w:t>074:1</w:t>
            </w:r>
          </w:p>
        </w:tc>
        <w:tc>
          <w:tcPr>
            <w:tcW w:w="88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15</w:t>
            </w:r>
          </w:p>
        </w:tc>
      </w:tr>
      <w:tr w:rsidR="0074428D" w:rsidRPr="007505DD">
        <w:trPr>
          <w:trHeight w:val="600"/>
        </w:trPr>
        <w:tc>
          <w:tcPr>
            <w:tcW w:w="3560" w:type="dxa"/>
            <w:tcBorders>
              <w:top w:val="nil"/>
              <w:left w:val="single" w:sz="4" w:space="0" w:color="auto"/>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r w:rsidRPr="007505DD">
              <w:rPr>
                <w:color w:val="000000"/>
                <w:sz w:val="24"/>
                <w:szCs w:val="24"/>
              </w:rPr>
              <w:t>Low Income - White Pine County</w:t>
            </w:r>
            <w:r w:rsidRPr="007505DD">
              <w:rPr>
                <w:color w:val="000000"/>
                <w:sz w:val="24"/>
                <w:szCs w:val="24"/>
                <w:vertAlign w:val="superscript"/>
              </w:rPr>
              <w:t>3</w:t>
            </w:r>
          </w:p>
        </w:tc>
        <w:tc>
          <w:tcPr>
            <w:tcW w:w="1115"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0.69</w:t>
            </w:r>
          </w:p>
        </w:tc>
        <w:tc>
          <w:tcPr>
            <w:tcW w:w="101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0.1</w:t>
            </w:r>
          </w:p>
        </w:tc>
        <w:tc>
          <w:tcPr>
            <w:tcW w:w="1360"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3170</w:t>
            </w:r>
          </w:p>
        </w:tc>
        <w:tc>
          <w:tcPr>
            <w:tcW w:w="1312"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rPr>
                <w:color w:val="000000"/>
                <w:sz w:val="24"/>
                <w:szCs w:val="24"/>
              </w:rPr>
            </w:pPr>
            <w:r w:rsidRPr="007505DD">
              <w:rPr>
                <w:color w:val="000000"/>
                <w:sz w:val="24"/>
                <w:szCs w:val="24"/>
              </w:rPr>
              <w:t>31</w:t>
            </w:r>
            <w:r>
              <w:rPr>
                <w:color w:val="000000"/>
                <w:sz w:val="24"/>
                <w:szCs w:val="24"/>
              </w:rPr>
              <w:t>,</w:t>
            </w:r>
            <w:r w:rsidRPr="007505DD">
              <w:rPr>
                <w:color w:val="000000"/>
                <w:sz w:val="24"/>
                <w:szCs w:val="24"/>
              </w:rPr>
              <w:t>700:1</w:t>
            </w:r>
          </w:p>
        </w:tc>
        <w:tc>
          <w:tcPr>
            <w:tcW w:w="888" w:type="dxa"/>
            <w:tcBorders>
              <w:top w:val="nil"/>
              <w:left w:val="nil"/>
              <w:bottom w:val="single" w:sz="4" w:space="0" w:color="auto"/>
              <w:right w:val="single" w:sz="4" w:space="0" w:color="auto"/>
            </w:tcBorders>
            <w:shd w:val="clear" w:color="000000" w:fill="FFFFFF"/>
            <w:vAlign w:val="bottom"/>
          </w:tcPr>
          <w:p w:rsidR="0074428D" w:rsidRPr="007505DD" w:rsidRDefault="0074428D" w:rsidP="00A57CBE">
            <w:pPr>
              <w:jc w:val="right"/>
              <w:rPr>
                <w:color w:val="000000"/>
                <w:sz w:val="24"/>
                <w:szCs w:val="24"/>
              </w:rPr>
            </w:pPr>
            <w:r w:rsidRPr="007505DD">
              <w:rPr>
                <w:color w:val="000000"/>
                <w:sz w:val="24"/>
                <w:szCs w:val="24"/>
              </w:rPr>
              <w:t>18</w:t>
            </w:r>
          </w:p>
        </w:tc>
      </w:tr>
      <w:tr w:rsidR="0074428D" w:rsidRPr="007505DD">
        <w:trPr>
          <w:trHeight w:val="300"/>
        </w:trPr>
        <w:tc>
          <w:tcPr>
            <w:tcW w:w="3560" w:type="dxa"/>
            <w:tcBorders>
              <w:top w:val="single" w:sz="4" w:space="0" w:color="auto"/>
              <w:left w:val="single" w:sz="4" w:space="0" w:color="auto"/>
              <w:bottom w:val="single" w:sz="4" w:space="0" w:color="auto"/>
              <w:right w:val="single" w:sz="4" w:space="0" w:color="auto"/>
            </w:tcBorders>
            <w:shd w:val="clear" w:color="000000" w:fill="FFFFFF"/>
            <w:vAlign w:val="bottom"/>
          </w:tcPr>
          <w:p w:rsidR="0074428D" w:rsidRPr="007505DD" w:rsidRDefault="0074428D" w:rsidP="00A57CBE">
            <w:pPr>
              <w:rPr>
                <w:b/>
                <w:bCs/>
                <w:color w:val="000000"/>
                <w:sz w:val="24"/>
                <w:szCs w:val="24"/>
              </w:rPr>
            </w:pPr>
            <w:r w:rsidRPr="007505DD">
              <w:rPr>
                <w:b/>
                <w:bCs/>
                <w:color w:val="000000"/>
                <w:sz w:val="24"/>
                <w:szCs w:val="24"/>
              </w:rPr>
              <w:t>Total</w:t>
            </w:r>
          </w:p>
        </w:tc>
        <w:tc>
          <w:tcPr>
            <w:tcW w:w="1115" w:type="dxa"/>
            <w:tcBorders>
              <w:top w:val="single" w:sz="4" w:space="0" w:color="auto"/>
              <w:left w:val="nil"/>
              <w:bottom w:val="single" w:sz="4" w:space="0" w:color="auto"/>
              <w:right w:val="single" w:sz="4" w:space="0" w:color="auto"/>
            </w:tcBorders>
            <w:shd w:val="clear" w:color="000000" w:fill="FFFFFF"/>
            <w:noWrap/>
            <w:vAlign w:val="bottom"/>
          </w:tcPr>
          <w:p w:rsidR="0074428D" w:rsidRPr="007505DD" w:rsidRDefault="0074428D" w:rsidP="00A57CBE">
            <w:pPr>
              <w:jc w:val="right"/>
              <w:rPr>
                <w:b/>
                <w:bCs/>
                <w:color w:val="000000"/>
                <w:sz w:val="24"/>
                <w:szCs w:val="24"/>
              </w:rPr>
            </w:pPr>
            <w:r w:rsidRPr="007505DD">
              <w:rPr>
                <w:b/>
                <w:bCs/>
                <w:color w:val="000000"/>
                <w:sz w:val="24"/>
                <w:szCs w:val="24"/>
              </w:rPr>
              <w:t>61.27</w:t>
            </w:r>
          </w:p>
        </w:tc>
        <w:tc>
          <w:tcPr>
            <w:tcW w:w="1018" w:type="dxa"/>
            <w:tcBorders>
              <w:top w:val="single" w:sz="4" w:space="0" w:color="auto"/>
              <w:left w:val="nil"/>
              <w:bottom w:val="single" w:sz="4" w:space="0" w:color="auto"/>
              <w:right w:val="single" w:sz="4" w:space="0" w:color="auto"/>
            </w:tcBorders>
            <w:shd w:val="clear" w:color="000000" w:fill="FFFFFF"/>
            <w:noWrap/>
            <w:vAlign w:val="bottom"/>
          </w:tcPr>
          <w:p w:rsidR="0074428D" w:rsidRPr="007505DD" w:rsidRDefault="0074428D" w:rsidP="00A57CBE">
            <w:pPr>
              <w:jc w:val="right"/>
              <w:rPr>
                <w:b/>
                <w:bCs/>
                <w:color w:val="000000"/>
                <w:sz w:val="24"/>
                <w:szCs w:val="24"/>
              </w:rPr>
            </w:pPr>
            <w:r w:rsidRPr="007505DD">
              <w:rPr>
                <w:b/>
                <w:bCs/>
                <w:color w:val="000000"/>
                <w:sz w:val="24"/>
                <w:szCs w:val="24"/>
              </w:rPr>
              <w:t>46.5</w:t>
            </w:r>
          </w:p>
        </w:tc>
        <w:tc>
          <w:tcPr>
            <w:tcW w:w="1360" w:type="dxa"/>
            <w:tcBorders>
              <w:top w:val="single" w:sz="4" w:space="0" w:color="auto"/>
              <w:left w:val="nil"/>
              <w:bottom w:val="single" w:sz="4" w:space="0" w:color="auto"/>
              <w:right w:val="single" w:sz="4" w:space="0" w:color="auto"/>
            </w:tcBorders>
            <w:shd w:val="clear" w:color="000000" w:fill="FFFFFF"/>
            <w:noWrap/>
            <w:vAlign w:val="bottom"/>
          </w:tcPr>
          <w:p w:rsidR="0074428D" w:rsidRPr="007505DD" w:rsidRDefault="0074428D" w:rsidP="00A57CBE">
            <w:pPr>
              <w:jc w:val="right"/>
              <w:rPr>
                <w:b/>
                <w:bCs/>
                <w:color w:val="000000"/>
                <w:sz w:val="24"/>
                <w:szCs w:val="24"/>
              </w:rPr>
            </w:pPr>
          </w:p>
        </w:tc>
        <w:tc>
          <w:tcPr>
            <w:tcW w:w="1312" w:type="dxa"/>
            <w:tcBorders>
              <w:top w:val="single" w:sz="4" w:space="0" w:color="auto"/>
              <w:left w:val="nil"/>
              <w:bottom w:val="single" w:sz="4" w:space="0" w:color="auto"/>
              <w:right w:val="single" w:sz="4" w:space="0" w:color="auto"/>
            </w:tcBorders>
            <w:shd w:val="clear" w:color="000000" w:fill="FFFFFF"/>
            <w:noWrap/>
            <w:vAlign w:val="bottom"/>
          </w:tcPr>
          <w:p w:rsidR="0074428D" w:rsidRPr="007505DD" w:rsidRDefault="0074428D" w:rsidP="00A57CBE">
            <w:pPr>
              <w:rPr>
                <w:b/>
                <w:bCs/>
                <w:color w:val="000000"/>
                <w:sz w:val="24"/>
                <w:szCs w:val="24"/>
              </w:rPr>
            </w:pPr>
            <w:r w:rsidRPr="007505DD">
              <w:rPr>
                <w:b/>
                <w:bCs/>
                <w:color w:val="000000"/>
                <w:sz w:val="24"/>
                <w:szCs w:val="24"/>
              </w:rPr>
              <w:t> </w:t>
            </w:r>
          </w:p>
        </w:tc>
        <w:tc>
          <w:tcPr>
            <w:tcW w:w="888" w:type="dxa"/>
            <w:tcBorders>
              <w:top w:val="single" w:sz="4" w:space="0" w:color="auto"/>
              <w:left w:val="nil"/>
              <w:bottom w:val="single" w:sz="4" w:space="0" w:color="auto"/>
              <w:right w:val="single" w:sz="4" w:space="0" w:color="auto"/>
            </w:tcBorders>
            <w:shd w:val="clear" w:color="000000" w:fill="FFFFFF"/>
            <w:noWrap/>
            <w:vAlign w:val="bottom"/>
          </w:tcPr>
          <w:p w:rsidR="0074428D" w:rsidRPr="007505DD" w:rsidRDefault="0074428D" w:rsidP="00A57CBE">
            <w:pPr>
              <w:rPr>
                <w:b/>
                <w:bCs/>
                <w:color w:val="000000"/>
                <w:sz w:val="24"/>
                <w:szCs w:val="24"/>
              </w:rPr>
            </w:pPr>
            <w:r w:rsidRPr="007505DD">
              <w:rPr>
                <w:b/>
                <w:bCs/>
                <w:color w:val="000000"/>
                <w:sz w:val="24"/>
                <w:szCs w:val="24"/>
              </w:rPr>
              <w:t> </w:t>
            </w:r>
          </w:p>
        </w:tc>
      </w:tr>
      <w:tr w:rsidR="0074428D" w:rsidRPr="007505DD">
        <w:trPr>
          <w:trHeight w:val="300"/>
        </w:trPr>
        <w:tc>
          <w:tcPr>
            <w:tcW w:w="9253" w:type="dxa"/>
            <w:gridSpan w:val="6"/>
            <w:tcBorders>
              <w:top w:val="single" w:sz="4" w:space="0" w:color="auto"/>
              <w:left w:val="single" w:sz="4" w:space="0" w:color="auto"/>
              <w:bottom w:val="single" w:sz="4" w:space="0" w:color="auto"/>
              <w:right w:val="single" w:sz="4" w:space="0" w:color="auto"/>
            </w:tcBorders>
            <w:shd w:val="clear" w:color="000000" w:fill="FFFFFF"/>
            <w:vAlign w:val="bottom"/>
          </w:tcPr>
          <w:p w:rsidR="0074428D" w:rsidRPr="007505DD" w:rsidRDefault="0074428D" w:rsidP="00A57CBE">
            <w:pPr>
              <w:rPr>
                <w:sz w:val="24"/>
                <w:szCs w:val="24"/>
              </w:rPr>
            </w:pPr>
            <w:r w:rsidRPr="007505DD">
              <w:rPr>
                <w:sz w:val="24"/>
                <w:szCs w:val="24"/>
                <w:vertAlign w:val="superscript"/>
              </w:rPr>
              <w:t>1</w:t>
            </w:r>
            <w:r w:rsidRPr="007505DD">
              <w:rPr>
                <w:sz w:val="24"/>
                <w:szCs w:val="24"/>
              </w:rPr>
              <w:t>Dental care providers include primary care dentists (</w:t>
            </w:r>
            <w:smartTag w:uri="urn:schemas-microsoft-com:office:smarttags" w:element="stockticker">
              <w:r w:rsidRPr="007505DD">
                <w:rPr>
                  <w:sz w:val="24"/>
                  <w:szCs w:val="24"/>
                </w:rPr>
                <w:t>DDS</w:t>
              </w:r>
            </w:smartTag>
            <w:r w:rsidRPr="007505DD">
              <w:rPr>
                <w:sz w:val="24"/>
                <w:szCs w:val="24"/>
              </w:rPr>
              <w:t xml:space="preserve"> and DMD).</w:t>
            </w:r>
          </w:p>
          <w:p w:rsidR="0074428D" w:rsidRPr="007505DD" w:rsidRDefault="0074428D" w:rsidP="00A57CBE">
            <w:pPr>
              <w:rPr>
                <w:sz w:val="24"/>
                <w:szCs w:val="24"/>
              </w:rPr>
            </w:pPr>
            <w:r w:rsidRPr="007505DD">
              <w:rPr>
                <w:sz w:val="24"/>
                <w:szCs w:val="24"/>
                <w:vertAlign w:val="superscript"/>
              </w:rPr>
              <w:t>2</w:t>
            </w:r>
            <w:r w:rsidRPr="007505DD">
              <w:rPr>
                <w:sz w:val="24"/>
                <w:szCs w:val="24"/>
              </w:rPr>
              <w:t xml:space="preserve">Full Time Equivalency: 1 </w:t>
            </w:r>
            <w:smartTag w:uri="urn:schemas-microsoft-com:office:smarttags" w:element="stockticker">
              <w:r w:rsidRPr="007505DD">
                <w:rPr>
                  <w:sz w:val="24"/>
                  <w:szCs w:val="24"/>
                </w:rPr>
                <w:t>FTE</w:t>
              </w:r>
            </w:smartTag>
            <w:r w:rsidRPr="007505DD">
              <w:rPr>
                <w:sz w:val="24"/>
                <w:szCs w:val="24"/>
              </w:rPr>
              <w:t xml:space="preserve"> = 40 hour workweek of direct patient care</w:t>
            </w:r>
          </w:p>
          <w:p w:rsidR="0074428D" w:rsidRPr="007505DD" w:rsidRDefault="0074428D" w:rsidP="00A57CBE">
            <w:pPr>
              <w:rPr>
                <w:b/>
                <w:bCs/>
                <w:color w:val="000000"/>
                <w:sz w:val="24"/>
                <w:szCs w:val="24"/>
              </w:rPr>
            </w:pPr>
            <w:r w:rsidRPr="007505DD">
              <w:rPr>
                <w:color w:val="000000"/>
                <w:sz w:val="24"/>
                <w:szCs w:val="24"/>
                <w:vertAlign w:val="superscript"/>
              </w:rPr>
              <w:t>3</w:t>
            </w:r>
            <w:r w:rsidRPr="007505DD">
              <w:rPr>
                <w:sz w:val="24"/>
                <w:szCs w:val="24"/>
              </w:rPr>
              <w:t xml:space="preserve">Low income </w:t>
            </w:r>
            <w:smartTag w:uri="urn:schemas-microsoft-com:office:smarttags" w:element="stockticker">
              <w:r w:rsidRPr="007505DD">
                <w:rPr>
                  <w:sz w:val="24"/>
                  <w:szCs w:val="24"/>
                </w:rPr>
                <w:t>FTE</w:t>
              </w:r>
            </w:smartTag>
            <w:r w:rsidRPr="007505DD">
              <w:rPr>
                <w:sz w:val="24"/>
                <w:szCs w:val="24"/>
              </w:rPr>
              <w:t xml:space="preserve"> is calculated by adding the percentages of care given to Medicaid and sliding fee scale/charity care patients and multiplying it by the provider’s </w:t>
            </w:r>
            <w:smartTag w:uri="urn:schemas-microsoft-com:office:smarttags" w:element="stockticker">
              <w:r w:rsidRPr="007505DD">
                <w:rPr>
                  <w:sz w:val="24"/>
                  <w:szCs w:val="24"/>
                </w:rPr>
                <w:t>FTE</w:t>
              </w:r>
            </w:smartTag>
            <w:r w:rsidRPr="007505DD">
              <w:rPr>
                <w:sz w:val="24"/>
                <w:szCs w:val="24"/>
              </w:rPr>
              <w:t>. For Low Income HPSAs, the population considered is those under the 200% poverty threshold.</w:t>
            </w:r>
          </w:p>
        </w:tc>
      </w:tr>
    </w:tbl>
    <w:p w:rsidR="0074428D" w:rsidRDefault="0074428D" w:rsidP="006E3056">
      <w:pPr>
        <w:rPr>
          <w:sz w:val="24"/>
          <w:szCs w:val="24"/>
        </w:rPr>
      </w:pPr>
    </w:p>
    <w:p w:rsidR="0074428D" w:rsidRDefault="0074428D" w:rsidP="006E3056">
      <w:pPr>
        <w:rPr>
          <w:sz w:val="24"/>
          <w:szCs w:val="24"/>
        </w:rPr>
      </w:pPr>
    </w:p>
    <w:p w:rsidR="0074428D" w:rsidRDefault="00DA1648" w:rsidP="006763D9">
      <w:pPr>
        <w:jc w:val="center"/>
        <w:rPr>
          <w:sz w:val="24"/>
          <w:szCs w:val="24"/>
        </w:rPr>
      </w:pPr>
      <w:r w:rsidRPr="00484B39">
        <w:rPr>
          <w:noProof/>
          <w:sz w:val="24"/>
          <w:szCs w:val="24"/>
        </w:rPr>
        <w:lastRenderedPageBreak/>
        <w:drawing>
          <wp:inline distT="0" distB="0" distL="0" distR="0">
            <wp:extent cx="2927985" cy="4180205"/>
            <wp:effectExtent l="0" t="0" r="571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7985" cy="4180205"/>
                    </a:xfrm>
                    <a:prstGeom prst="rect">
                      <a:avLst/>
                    </a:prstGeom>
                    <a:noFill/>
                    <a:ln>
                      <a:noFill/>
                    </a:ln>
                  </pic:spPr>
                </pic:pic>
              </a:graphicData>
            </a:graphic>
          </wp:inline>
        </w:drawing>
      </w:r>
    </w:p>
    <w:p w:rsidR="0074428D" w:rsidRDefault="0074428D" w:rsidP="006E3056">
      <w:pPr>
        <w:rPr>
          <w:sz w:val="24"/>
          <w:szCs w:val="24"/>
        </w:rPr>
      </w:pPr>
      <w:r>
        <w:rPr>
          <w:sz w:val="24"/>
          <w:szCs w:val="24"/>
        </w:rPr>
        <w:t xml:space="preserve">Summarizing the dental table and map, there are 18 designations including 5 whole county (Nye is split north/south because of its size), 3 sub-county and 9 low income.   Seven of these designations score the full 10 points for population-to-provider ratio, six of which are in low-income designations, both rural and urban.  </w:t>
      </w:r>
      <w:smartTag w:uri="urn:schemas-microsoft-com:office:smarttags" w:element="time">
        <w:smartTagPr>
          <w:attr w:name="Hour" w:val="14"/>
          <w:attr w:name="Minute" w:val="20"/>
        </w:smartTagPr>
        <w:r>
          <w:rPr>
            <w:sz w:val="24"/>
            <w:szCs w:val="24"/>
          </w:rPr>
          <w:t>Fourteen score</w:t>
        </w:r>
      </w:smartTag>
      <w:r>
        <w:rPr>
          <w:sz w:val="24"/>
          <w:szCs w:val="24"/>
        </w:rPr>
        <w:t xml:space="preserve"> the full 5 points for travel time/distance. </w:t>
      </w:r>
    </w:p>
    <w:p w:rsidR="0074428D" w:rsidRDefault="0074428D" w:rsidP="007F66B5">
      <w:pPr>
        <w:rPr>
          <w:sz w:val="24"/>
          <w:szCs w:val="24"/>
        </w:rPr>
      </w:pPr>
      <w:r>
        <w:rPr>
          <w:sz w:val="24"/>
          <w:szCs w:val="24"/>
        </w:rPr>
        <w:t xml:space="preserve">With regard to poverty level, low-income designations in </w:t>
      </w:r>
      <w:smartTag w:uri="urn:schemas-microsoft-com:office:smarttags" w:element="place">
        <w:smartTag w:uri="urn:schemas-microsoft-com:office:smarttags" w:element="City">
          <w:r>
            <w:rPr>
              <w:sz w:val="24"/>
              <w:szCs w:val="24"/>
            </w:rPr>
            <w:t>Reno</w:t>
          </w:r>
        </w:smartTag>
      </w:smartTag>
      <w:r>
        <w:rPr>
          <w:sz w:val="24"/>
          <w:szCs w:val="24"/>
        </w:rPr>
        <w:t xml:space="preserve">, South Central Las Vegas, East Central Las Vegas, </w:t>
      </w:r>
      <w:smartTag w:uri="urn:schemas-microsoft-com:office:smarttags" w:element="place">
        <w:r>
          <w:rPr>
            <w:sz w:val="24"/>
            <w:szCs w:val="24"/>
          </w:rPr>
          <w:t>Central Las Vegas</w:t>
        </w:r>
      </w:smartTag>
      <w:r>
        <w:rPr>
          <w:sz w:val="24"/>
          <w:szCs w:val="24"/>
        </w:rPr>
        <w:t xml:space="preserve"> and Southern Nye County received 4 out of 5 possible points.</w:t>
      </w:r>
    </w:p>
    <w:p w:rsidR="0074428D" w:rsidRDefault="0074428D" w:rsidP="007F66B5">
      <w:pPr>
        <w:rPr>
          <w:sz w:val="24"/>
          <w:szCs w:val="24"/>
          <w:u w:val="single"/>
        </w:rPr>
      </w:pPr>
      <w:r>
        <w:rPr>
          <w:sz w:val="24"/>
          <w:szCs w:val="24"/>
        </w:rPr>
        <w:t xml:space="preserve">Another factor for dental care is that most of </w:t>
      </w:r>
      <w:smartTag w:uri="urn:schemas-microsoft-com:office:smarttags" w:element="place">
        <w:smartTag w:uri="urn:schemas-microsoft-com:office:smarttags" w:element="State">
          <w:r>
            <w:rPr>
              <w:sz w:val="24"/>
              <w:szCs w:val="24"/>
            </w:rPr>
            <w:t>Nevada</w:t>
          </w:r>
        </w:smartTag>
      </w:smartTag>
      <w:r>
        <w:rPr>
          <w:sz w:val="24"/>
          <w:szCs w:val="24"/>
        </w:rPr>
        <w:t xml:space="preserve"> does not have fluoridated water.  This results in an additional point from the HPSA scoring rubric, for all designations, except </w:t>
      </w:r>
      <w:smartTag w:uri="urn:schemas-microsoft-com:office:smarttags" w:element="PlaceName">
        <w:smartTag w:uri="urn:schemas-microsoft-com:office:smarttags" w:element="place">
          <w:r>
            <w:rPr>
              <w:sz w:val="24"/>
              <w:szCs w:val="24"/>
            </w:rPr>
            <w:t>Clark</w:t>
          </w:r>
        </w:smartTag>
        <w:r>
          <w:rPr>
            <w:sz w:val="24"/>
            <w:szCs w:val="24"/>
          </w:rPr>
          <w:t xml:space="preserve"> </w:t>
        </w:r>
        <w:smartTag w:uri="urn:schemas-microsoft-com:office:smarttags" w:element="PlaceType">
          <w:r>
            <w:rPr>
              <w:sz w:val="24"/>
              <w:szCs w:val="24"/>
            </w:rPr>
            <w:t>County</w:t>
          </w:r>
        </w:smartTag>
      </w:smartTag>
      <w:r>
        <w:rPr>
          <w:sz w:val="24"/>
          <w:szCs w:val="24"/>
        </w:rPr>
        <w:t>.</w:t>
      </w:r>
    </w:p>
    <w:p w:rsidR="0074428D" w:rsidRDefault="0074428D" w:rsidP="007F66B5">
      <w:pPr>
        <w:rPr>
          <w:sz w:val="24"/>
          <w:szCs w:val="24"/>
          <w:u w:val="single"/>
        </w:rPr>
      </w:pPr>
      <w:r>
        <w:rPr>
          <w:sz w:val="24"/>
          <w:szCs w:val="24"/>
          <w:u w:val="single"/>
        </w:rPr>
        <w:t>Mental Health Providers</w:t>
      </w:r>
    </w:p>
    <w:p w:rsidR="0074428D" w:rsidRDefault="0074428D" w:rsidP="00590B4A">
      <w:pPr>
        <w:rPr>
          <w:sz w:val="24"/>
          <w:szCs w:val="24"/>
        </w:rPr>
      </w:pPr>
      <w:r>
        <w:rPr>
          <w:sz w:val="24"/>
          <w:szCs w:val="24"/>
        </w:rPr>
        <w:lastRenderedPageBreak/>
        <w:t>Nevada is ranked at the bottom for the number of psychiatrists, at 5.1 per 100,000, compared to a national average of 8.9.</w:t>
      </w:r>
      <w:r>
        <w:rPr>
          <w:rStyle w:val="FootnoteReference"/>
          <w:sz w:val="24"/>
          <w:szCs w:val="24"/>
        </w:rPr>
        <w:footnoteReference w:id="40"/>
      </w:r>
      <w:r>
        <w:rPr>
          <w:sz w:val="24"/>
          <w:szCs w:val="24"/>
        </w:rPr>
        <w:t xml:space="preserve">  Our state experiences its most comprehensive and severe shortages in the mental and behavioral health category, and nearly the whole state is designated, as reflected in both the map</w:t>
      </w:r>
      <w:r>
        <w:rPr>
          <w:rStyle w:val="FootnoteReference"/>
          <w:sz w:val="24"/>
          <w:szCs w:val="24"/>
        </w:rPr>
        <w:footnoteReference w:id="41"/>
      </w:r>
      <w:r>
        <w:rPr>
          <w:sz w:val="24"/>
          <w:szCs w:val="24"/>
        </w:rPr>
        <w:t xml:space="preserve"> and in the table below.</w:t>
      </w:r>
    </w:p>
    <w:p w:rsidR="0074428D" w:rsidRDefault="00DA1648" w:rsidP="007F66B5">
      <w:pPr>
        <w:rPr>
          <w:sz w:val="24"/>
          <w:szCs w:val="24"/>
        </w:rPr>
      </w:pPr>
      <w:r w:rsidRPr="00484B39">
        <w:rPr>
          <w:noProof/>
          <w:sz w:val="24"/>
          <w:szCs w:val="24"/>
        </w:rPr>
        <w:drawing>
          <wp:inline distT="0" distB="0" distL="0" distR="0">
            <wp:extent cx="3983990" cy="497459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3990" cy="4974590"/>
                    </a:xfrm>
                    <a:prstGeom prst="rect">
                      <a:avLst/>
                    </a:prstGeom>
                    <a:noFill/>
                    <a:ln>
                      <a:noFill/>
                    </a:ln>
                  </pic:spPr>
                </pic:pic>
              </a:graphicData>
            </a:graphic>
          </wp:inline>
        </w:drawing>
      </w:r>
    </w:p>
    <w:p w:rsidR="0074428D" w:rsidRPr="006D357C" w:rsidRDefault="0074428D" w:rsidP="007F66B5">
      <w:pPr>
        <w:rPr>
          <w:sz w:val="24"/>
          <w:szCs w:val="24"/>
        </w:rPr>
      </w:pPr>
    </w:p>
    <w:tbl>
      <w:tblPr>
        <w:tblW w:w="8720" w:type="dxa"/>
        <w:tblLook w:val="04A0" w:firstRow="1" w:lastRow="0" w:firstColumn="1" w:lastColumn="0" w:noHBand="0" w:noVBand="1"/>
      </w:tblPr>
      <w:tblGrid>
        <w:gridCol w:w="1704"/>
        <w:gridCol w:w="1178"/>
        <w:gridCol w:w="1100"/>
        <w:gridCol w:w="1066"/>
        <w:gridCol w:w="1404"/>
        <w:gridCol w:w="1308"/>
        <w:gridCol w:w="960"/>
      </w:tblGrid>
      <w:tr w:rsidR="0074428D" w:rsidRPr="007505DD">
        <w:trPr>
          <w:trHeight w:val="440"/>
        </w:trPr>
        <w:tc>
          <w:tcPr>
            <w:tcW w:w="8720" w:type="dxa"/>
            <w:gridSpan w:val="7"/>
            <w:tcBorders>
              <w:top w:val="single" w:sz="4" w:space="0" w:color="auto"/>
              <w:left w:val="single" w:sz="4" w:space="0" w:color="auto"/>
              <w:bottom w:val="single" w:sz="4" w:space="0" w:color="auto"/>
              <w:right w:val="single" w:sz="4" w:space="0" w:color="auto"/>
            </w:tcBorders>
            <w:vAlign w:val="bottom"/>
          </w:tcPr>
          <w:p w:rsidR="0074428D" w:rsidRPr="007505DD" w:rsidRDefault="0074428D" w:rsidP="007F66B5">
            <w:pPr>
              <w:rPr>
                <w:b/>
                <w:bCs/>
                <w:color w:val="000000"/>
                <w:sz w:val="24"/>
                <w:szCs w:val="24"/>
              </w:rPr>
            </w:pPr>
            <w:smartTag w:uri="urn:schemas-microsoft-com:office:smarttags" w:element="place">
              <w:smartTag w:uri="urn:schemas-microsoft-com:office:smarttags" w:element="State">
                <w:r w:rsidRPr="007505DD">
                  <w:rPr>
                    <w:b/>
                    <w:bCs/>
                    <w:color w:val="000000"/>
                    <w:sz w:val="24"/>
                    <w:szCs w:val="24"/>
                  </w:rPr>
                  <w:t>Nevada</w:t>
                </w:r>
              </w:smartTag>
            </w:smartTag>
            <w:r w:rsidRPr="007505DD">
              <w:rPr>
                <w:b/>
                <w:bCs/>
                <w:color w:val="000000"/>
                <w:sz w:val="24"/>
                <w:szCs w:val="24"/>
              </w:rPr>
              <w:t xml:space="preserve"> Mental Health Provider</w:t>
            </w:r>
            <w:r w:rsidRPr="007505DD">
              <w:rPr>
                <w:b/>
                <w:bCs/>
                <w:color w:val="000000"/>
                <w:sz w:val="24"/>
                <w:szCs w:val="24"/>
                <w:vertAlign w:val="superscript"/>
              </w:rPr>
              <w:t>1</w:t>
            </w:r>
            <w:r w:rsidRPr="007505DD">
              <w:rPr>
                <w:b/>
                <w:bCs/>
                <w:color w:val="000000"/>
                <w:sz w:val="24"/>
                <w:szCs w:val="24"/>
              </w:rPr>
              <w:t xml:space="preserve"> Shortages</w:t>
            </w:r>
          </w:p>
        </w:tc>
      </w:tr>
      <w:tr w:rsidR="0074428D" w:rsidRPr="007505DD">
        <w:trPr>
          <w:trHeight w:val="900"/>
        </w:trPr>
        <w:tc>
          <w:tcPr>
            <w:tcW w:w="2045" w:type="dxa"/>
            <w:tcBorders>
              <w:top w:val="single" w:sz="4" w:space="0" w:color="auto"/>
              <w:left w:val="single" w:sz="4" w:space="0" w:color="auto"/>
              <w:bottom w:val="single" w:sz="4" w:space="0" w:color="auto"/>
              <w:right w:val="single" w:sz="4" w:space="0" w:color="auto"/>
            </w:tcBorders>
            <w:vAlign w:val="bottom"/>
          </w:tcPr>
          <w:p w:rsidR="0074428D" w:rsidRPr="007505DD" w:rsidRDefault="0074428D" w:rsidP="007F66B5">
            <w:pPr>
              <w:rPr>
                <w:b/>
                <w:bCs/>
                <w:color w:val="000000"/>
                <w:sz w:val="24"/>
                <w:szCs w:val="24"/>
              </w:rPr>
            </w:pPr>
            <w:r w:rsidRPr="007505DD">
              <w:rPr>
                <w:b/>
                <w:bCs/>
                <w:color w:val="000000"/>
                <w:sz w:val="24"/>
                <w:szCs w:val="24"/>
              </w:rPr>
              <w:t xml:space="preserve">Health Professional Shortage </w:t>
            </w:r>
            <w:r w:rsidRPr="007505DD">
              <w:rPr>
                <w:b/>
                <w:bCs/>
                <w:color w:val="000000"/>
                <w:sz w:val="24"/>
                <w:szCs w:val="24"/>
              </w:rPr>
              <w:lastRenderedPageBreak/>
              <w:t>Area (HPSA) Name</w:t>
            </w:r>
          </w:p>
        </w:tc>
        <w:tc>
          <w:tcPr>
            <w:tcW w:w="1098" w:type="dxa"/>
            <w:tcBorders>
              <w:top w:val="single" w:sz="4" w:space="0" w:color="auto"/>
              <w:left w:val="nil"/>
              <w:bottom w:val="single" w:sz="4" w:space="0" w:color="auto"/>
              <w:right w:val="single" w:sz="4" w:space="0" w:color="auto"/>
            </w:tcBorders>
            <w:vAlign w:val="bottom"/>
          </w:tcPr>
          <w:p w:rsidR="0074428D" w:rsidRPr="007505DD" w:rsidRDefault="0074428D" w:rsidP="007F66B5">
            <w:pPr>
              <w:rPr>
                <w:b/>
                <w:bCs/>
                <w:color w:val="000000"/>
                <w:sz w:val="24"/>
                <w:szCs w:val="24"/>
              </w:rPr>
            </w:pPr>
            <w:r w:rsidRPr="007505DD">
              <w:rPr>
                <w:b/>
                <w:bCs/>
                <w:color w:val="000000"/>
                <w:sz w:val="24"/>
                <w:szCs w:val="24"/>
              </w:rPr>
              <w:lastRenderedPageBreak/>
              <w:t>HPSA Discipline Class</w:t>
            </w:r>
          </w:p>
        </w:tc>
        <w:tc>
          <w:tcPr>
            <w:tcW w:w="1100" w:type="dxa"/>
            <w:tcBorders>
              <w:top w:val="single" w:sz="4" w:space="0" w:color="auto"/>
              <w:left w:val="nil"/>
              <w:bottom w:val="single" w:sz="4" w:space="0" w:color="auto"/>
              <w:right w:val="single" w:sz="4" w:space="0" w:color="auto"/>
            </w:tcBorders>
            <w:vAlign w:val="bottom"/>
          </w:tcPr>
          <w:p w:rsidR="0074428D" w:rsidRPr="007505DD" w:rsidRDefault="0074428D" w:rsidP="007F66B5">
            <w:pPr>
              <w:rPr>
                <w:b/>
                <w:bCs/>
                <w:color w:val="000000"/>
                <w:sz w:val="24"/>
                <w:szCs w:val="24"/>
              </w:rPr>
            </w:pPr>
            <w:r w:rsidRPr="007505DD">
              <w:rPr>
                <w:b/>
                <w:bCs/>
                <w:color w:val="000000"/>
                <w:sz w:val="24"/>
                <w:szCs w:val="24"/>
              </w:rPr>
              <w:t xml:space="preserve"># of Provider </w:t>
            </w:r>
            <w:r w:rsidRPr="007505DD">
              <w:rPr>
                <w:b/>
                <w:bCs/>
                <w:color w:val="000000"/>
                <w:sz w:val="24"/>
                <w:szCs w:val="24"/>
              </w:rPr>
              <w:lastRenderedPageBreak/>
              <w:t>FTEs</w:t>
            </w:r>
            <w:r w:rsidRPr="007505DD">
              <w:rPr>
                <w:b/>
                <w:bCs/>
                <w:color w:val="000000"/>
                <w:sz w:val="24"/>
                <w:szCs w:val="24"/>
                <w:vertAlign w:val="superscript"/>
              </w:rPr>
              <w:t>2</w:t>
            </w:r>
            <w:r w:rsidRPr="007505DD">
              <w:rPr>
                <w:b/>
                <w:bCs/>
                <w:color w:val="000000"/>
                <w:sz w:val="24"/>
                <w:szCs w:val="24"/>
              </w:rPr>
              <w:t xml:space="preserve"> Short</w:t>
            </w:r>
          </w:p>
        </w:tc>
        <w:tc>
          <w:tcPr>
            <w:tcW w:w="995" w:type="dxa"/>
            <w:tcBorders>
              <w:top w:val="single" w:sz="4" w:space="0" w:color="auto"/>
              <w:left w:val="nil"/>
              <w:bottom w:val="single" w:sz="4" w:space="0" w:color="auto"/>
              <w:right w:val="single" w:sz="4" w:space="0" w:color="auto"/>
            </w:tcBorders>
            <w:vAlign w:val="bottom"/>
          </w:tcPr>
          <w:p w:rsidR="0074428D" w:rsidRPr="007505DD" w:rsidRDefault="0074428D" w:rsidP="007F66B5">
            <w:pPr>
              <w:rPr>
                <w:b/>
                <w:bCs/>
                <w:color w:val="000000"/>
                <w:sz w:val="24"/>
                <w:szCs w:val="24"/>
              </w:rPr>
            </w:pPr>
            <w:r w:rsidRPr="007505DD">
              <w:rPr>
                <w:b/>
                <w:bCs/>
                <w:color w:val="000000"/>
                <w:sz w:val="24"/>
                <w:szCs w:val="24"/>
              </w:rPr>
              <w:lastRenderedPageBreak/>
              <w:t xml:space="preserve">HPSA Provider </w:t>
            </w:r>
            <w:smartTag w:uri="urn:schemas-microsoft-com:office:smarttags" w:element="stockticker">
              <w:r w:rsidRPr="007505DD">
                <w:rPr>
                  <w:b/>
                  <w:bCs/>
                  <w:color w:val="000000"/>
                  <w:sz w:val="24"/>
                  <w:szCs w:val="24"/>
                </w:rPr>
                <w:t>FTE</w:t>
              </w:r>
            </w:smartTag>
          </w:p>
        </w:tc>
        <w:tc>
          <w:tcPr>
            <w:tcW w:w="1305" w:type="dxa"/>
            <w:tcBorders>
              <w:top w:val="single" w:sz="4" w:space="0" w:color="auto"/>
              <w:left w:val="nil"/>
              <w:bottom w:val="single" w:sz="4" w:space="0" w:color="auto"/>
              <w:right w:val="single" w:sz="4" w:space="0" w:color="auto"/>
            </w:tcBorders>
            <w:vAlign w:val="bottom"/>
          </w:tcPr>
          <w:p w:rsidR="0074428D" w:rsidRPr="007505DD" w:rsidRDefault="0074428D" w:rsidP="007F66B5">
            <w:pPr>
              <w:rPr>
                <w:b/>
                <w:bCs/>
                <w:color w:val="000000"/>
                <w:sz w:val="24"/>
                <w:szCs w:val="24"/>
              </w:rPr>
            </w:pPr>
            <w:r w:rsidRPr="007505DD">
              <w:rPr>
                <w:b/>
                <w:bCs/>
                <w:color w:val="000000"/>
                <w:sz w:val="24"/>
                <w:szCs w:val="24"/>
              </w:rPr>
              <w:t>HPSA Designation Population</w:t>
            </w:r>
          </w:p>
        </w:tc>
        <w:tc>
          <w:tcPr>
            <w:tcW w:w="1217" w:type="dxa"/>
            <w:tcBorders>
              <w:top w:val="single" w:sz="4" w:space="0" w:color="auto"/>
              <w:left w:val="nil"/>
              <w:bottom w:val="single" w:sz="4" w:space="0" w:color="auto"/>
              <w:right w:val="single" w:sz="4" w:space="0" w:color="auto"/>
            </w:tcBorders>
            <w:vAlign w:val="bottom"/>
          </w:tcPr>
          <w:p w:rsidR="0074428D" w:rsidRPr="007505DD" w:rsidRDefault="0074428D" w:rsidP="007F66B5">
            <w:pPr>
              <w:rPr>
                <w:b/>
                <w:bCs/>
                <w:color w:val="000000"/>
                <w:sz w:val="24"/>
                <w:szCs w:val="24"/>
              </w:rPr>
            </w:pPr>
            <w:r w:rsidRPr="007505DD">
              <w:rPr>
                <w:b/>
                <w:bCs/>
                <w:color w:val="000000"/>
                <w:sz w:val="24"/>
                <w:szCs w:val="24"/>
              </w:rPr>
              <w:t xml:space="preserve">Population to </w:t>
            </w:r>
            <w:r w:rsidRPr="007505DD">
              <w:rPr>
                <w:b/>
                <w:bCs/>
                <w:color w:val="000000"/>
                <w:sz w:val="24"/>
                <w:szCs w:val="24"/>
              </w:rPr>
              <w:lastRenderedPageBreak/>
              <w:t>Provider Ratio</w:t>
            </w:r>
          </w:p>
        </w:tc>
        <w:tc>
          <w:tcPr>
            <w:tcW w:w="960" w:type="dxa"/>
            <w:tcBorders>
              <w:top w:val="single" w:sz="4" w:space="0" w:color="auto"/>
              <w:left w:val="nil"/>
              <w:bottom w:val="single" w:sz="4" w:space="0" w:color="auto"/>
              <w:right w:val="single" w:sz="4" w:space="0" w:color="auto"/>
            </w:tcBorders>
            <w:vAlign w:val="bottom"/>
          </w:tcPr>
          <w:p w:rsidR="0074428D" w:rsidRPr="007505DD" w:rsidRDefault="0074428D" w:rsidP="007F66B5">
            <w:pPr>
              <w:rPr>
                <w:b/>
                <w:bCs/>
                <w:color w:val="000000"/>
                <w:sz w:val="24"/>
                <w:szCs w:val="24"/>
              </w:rPr>
            </w:pPr>
            <w:r w:rsidRPr="007505DD">
              <w:rPr>
                <w:b/>
                <w:bCs/>
                <w:color w:val="000000"/>
                <w:sz w:val="24"/>
                <w:szCs w:val="24"/>
              </w:rPr>
              <w:lastRenderedPageBreak/>
              <w:t>HPSA Score</w:t>
            </w:r>
          </w:p>
        </w:tc>
      </w:tr>
      <w:tr w:rsidR="0074428D" w:rsidRPr="007505DD">
        <w:trPr>
          <w:trHeight w:val="600"/>
        </w:trPr>
        <w:tc>
          <w:tcPr>
            <w:tcW w:w="2045" w:type="dxa"/>
            <w:tcBorders>
              <w:top w:val="nil"/>
              <w:left w:val="single" w:sz="4" w:space="0" w:color="auto"/>
              <w:bottom w:val="single" w:sz="4" w:space="0" w:color="auto"/>
              <w:right w:val="single" w:sz="4" w:space="0" w:color="auto"/>
            </w:tcBorders>
            <w:vAlign w:val="bottom"/>
          </w:tcPr>
          <w:p w:rsidR="0074428D" w:rsidRPr="007505DD" w:rsidRDefault="0074428D" w:rsidP="007F66B5">
            <w:pPr>
              <w:rPr>
                <w:color w:val="000000"/>
                <w:sz w:val="24"/>
                <w:szCs w:val="24"/>
              </w:rPr>
            </w:pPr>
            <w:smartTag w:uri="urn:schemas-microsoft-com:office:smarttags" w:element="place">
              <w:smartTag w:uri="urn:schemas-microsoft-com:office:smarttags" w:element="City">
                <w:r w:rsidRPr="007505DD">
                  <w:rPr>
                    <w:color w:val="000000"/>
                    <w:sz w:val="24"/>
                    <w:szCs w:val="24"/>
                  </w:rPr>
                  <w:t>Henderson</w:t>
                </w:r>
              </w:smartTag>
            </w:smartTag>
          </w:p>
        </w:tc>
        <w:tc>
          <w:tcPr>
            <w:tcW w:w="1098" w:type="dxa"/>
            <w:tcBorders>
              <w:top w:val="nil"/>
              <w:left w:val="nil"/>
              <w:bottom w:val="single" w:sz="4" w:space="0" w:color="auto"/>
              <w:right w:val="single" w:sz="4" w:space="0" w:color="auto"/>
            </w:tcBorders>
            <w:vAlign w:val="bottom"/>
          </w:tcPr>
          <w:p w:rsidR="0074428D" w:rsidRPr="007505DD" w:rsidRDefault="0074428D" w:rsidP="007F66B5">
            <w:pPr>
              <w:rPr>
                <w:color w:val="000000"/>
                <w:sz w:val="24"/>
                <w:szCs w:val="24"/>
              </w:rPr>
            </w:pPr>
            <w:r w:rsidRPr="007505DD">
              <w:rPr>
                <w:color w:val="000000"/>
                <w:sz w:val="24"/>
                <w:szCs w:val="24"/>
              </w:rPr>
              <w:t>Mental Health</w:t>
            </w:r>
          </w:p>
        </w:tc>
        <w:tc>
          <w:tcPr>
            <w:tcW w:w="1100" w:type="dxa"/>
            <w:tcBorders>
              <w:top w:val="nil"/>
              <w:left w:val="nil"/>
              <w:bottom w:val="single" w:sz="4" w:space="0" w:color="auto"/>
              <w:right w:val="single" w:sz="4" w:space="0" w:color="auto"/>
            </w:tcBorders>
            <w:vAlign w:val="bottom"/>
          </w:tcPr>
          <w:p w:rsidR="0074428D" w:rsidRPr="007505DD" w:rsidRDefault="0074428D" w:rsidP="007F66B5">
            <w:pPr>
              <w:jc w:val="right"/>
              <w:rPr>
                <w:color w:val="000000"/>
                <w:sz w:val="24"/>
                <w:szCs w:val="24"/>
              </w:rPr>
            </w:pPr>
            <w:r w:rsidRPr="007505DD">
              <w:rPr>
                <w:color w:val="000000"/>
                <w:sz w:val="24"/>
                <w:szCs w:val="24"/>
              </w:rPr>
              <w:t>1.29</w:t>
            </w:r>
          </w:p>
        </w:tc>
        <w:tc>
          <w:tcPr>
            <w:tcW w:w="995" w:type="dxa"/>
            <w:tcBorders>
              <w:top w:val="nil"/>
              <w:left w:val="nil"/>
              <w:bottom w:val="single" w:sz="4" w:space="0" w:color="auto"/>
              <w:right w:val="single" w:sz="4" w:space="0" w:color="auto"/>
            </w:tcBorders>
            <w:vAlign w:val="bottom"/>
          </w:tcPr>
          <w:p w:rsidR="0074428D" w:rsidRPr="007505DD" w:rsidRDefault="0074428D" w:rsidP="007F66B5">
            <w:pPr>
              <w:jc w:val="right"/>
              <w:rPr>
                <w:color w:val="000000"/>
                <w:sz w:val="24"/>
                <w:szCs w:val="24"/>
              </w:rPr>
            </w:pPr>
            <w:r w:rsidRPr="007505DD">
              <w:rPr>
                <w:color w:val="000000"/>
                <w:sz w:val="24"/>
                <w:szCs w:val="24"/>
              </w:rPr>
              <w:t>0</w:t>
            </w:r>
          </w:p>
        </w:tc>
        <w:tc>
          <w:tcPr>
            <w:tcW w:w="1305" w:type="dxa"/>
            <w:tcBorders>
              <w:top w:val="nil"/>
              <w:left w:val="nil"/>
              <w:bottom w:val="single" w:sz="4" w:space="0" w:color="auto"/>
              <w:right w:val="single" w:sz="4" w:space="0" w:color="auto"/>
            </w:tcBorders>
            <w:vAlign w:val="bottom"/>
          </w:tcPr>
          <w:p w:rsidR="0074428D" w:rsidRPr="007505DD" w:rsidRDefault="0074428D" w:rsidP="007F66B5">
            <w:pPr>
              <w:jc w:val="right"/>
              <w:rPr>
                <w:color w:val="000000"/>
                <w:sz w:val="24"/>
                <w:szCs w:val="24"/>
              </w:rPr>
            </w:pPr>
            <w:r w:rsidRPr="007505DD">
              <w:rPr>
                <w:color w:val="000000"/>
                <w:sz w:val="24"/>
                <w:szCs w:val="24"/>
              </w:rPr>
              <w:t>25,819</w:t>
            </w:r>
          </w:p>
        </w:tc>
        <w:tc>
          <w:tcPr>
            <w:tcW w:w="1217" w:type="dxa"/>
            <w:tcBorders>
              <w:top w:val="nil"/>
              <w:left w:val="nil"/>
              <w:bottom w:val="single" w:sz="4" w:space="0" w:color="auto"/>
              <w:right w:val="single" w:sz="4" w:space="0" w:color="auto"/>
            </w:tcBorders>
            <w:vAlign w:val="bottom"/>
          </w:tcPr>
          <w:p w:rsidR="0074428D" w:rsidRPr="007505DD" w:rsidRDefault="0074428D" w:rsidP="007F66B5">
            <w:pPr>
              <w:rPr>
                <w:color w:val="000000"/>
                <w:sz w:val="24"/>
                <w:szCs w:val="24"/>
              </w:rPr>
            </w:pPr>
            <w:r w:rsidRPr="007505DD">
              <w:rPr>
                <w:color w:val="000000"/>
                <w:sz w:val="24"/>
                <w:szCs w:val="24"/>
              </w:rPr>
              <w:t>25</w:t>
            </w:r>
            <w:r>
              <w:rPr>
                <w:color w:val="000000"/>
                <w:sz w:val="24"/>
                <w:szCs w:val="24"/>
              </w:rPr>
              <w:t>,</w:t>
            </w:r>
            <w:r w:rsidRPr="007505DD">
              <w:rPr>
                <w:color w:val="000000"/>
                <w:sz w:val="24"/>
                <w:szCs w:val="24"/>
              </w:rPr>
              <w:t>819:0</w:t>
            </w:r>
          </w:p>
        </w:tc>
        <w:tc>
          <w:tcPr>
            <w:tcW w:w="960" w:type="dxa"/>
            <w:tcBorders>
              <w:top w:val="nil"/>
              <w:left w:val="nil"/>
              <w:bottom w:val="single" w:sz="4" w:space="0" w:color="auto"/>
              <w:right w:val="single" w:sz="4" w:space="0" w:color="auto"/>
            </w:tcBorders>
            <w:vAlign w:val="bottom"/>
          </w:tcPr>
          <w:p w:rsidR="0074428D" w:rsidRPr="007505DD" w:rsidRDefault="0074428D" w:rsidP="007F66B5">
            <w:pPr>
              <w:jc w:val="right"/>
              <w:rPr>
                <w:color w:val="000000"/>
                <w:sz w:val="24"/>
                <w:szCs w:val="24"/>
              </w:rPr>
            </w:pPr>
            <w:r w:rsidRPr="007505DD">
              <w:rPr>
                <w:color w:val="000000"/>
                <w:sz w:val="24"/>
                <w:szCs w:val="24"/>
              </w:rPr>
              <w:t>11</w:t>
            </w:r>
          </w:p>
        </w:tc>
      </w:tr>
      <w:tr w:rsidR="0074428D" w:rsidRPr="007505DD">
        <w:trPr>
          <w:trHeight w:val="600"/>
        </w:trPr>
        <w:tc>
          <w:tcPr>
            <w:tcW w:w="2045" w:type="dxa"/>
            <w:tcBorders>
              <w:top w:val="nil"/>
              <w:left w:val="single" w:sz="4" w:space="0" w:color="auto"/>
              <w:bottom w:val="single" w:sz="4" w:space="0" w:color="auto"/>
              <w:right w:val="single" w:sz="4" w:space="0" w:color="auto"/>
            </w:tcBorders>
            <w:vAlign w:val="bottom"/>
          </w:tcPr>
          <w:p w:rsidR="0074428D" w:rsidRPr="007505DD" w:rsidRDefault="0074428D" w:rsidP="007F66B5">
            <w:pPr>
              <w:rPr>
                <w:color w:val="000000"/>
                <w:sz w:val="24"/>
                <w:szCs w:val="24"/>
              </w:rPr>
            </w:pPr>
            <w:smartTag w:uri="urn:schemas-microsoft-com:office:smarttags" w:element="place">
              <w:smartTag w:uri="urn:schemas-microsoft-com:office:smarttags" w:element="City">
                <w:r w:rsidRPr="007505DD">
                  <w:rPr>
                    <w:color w:val="000000"/>
                    <w:sz w:val="24"/>
                    <w:szCs w:val="24"/>
                  </w:rPr>
                  <w:t>Las Vegas</w:t>
                </w:r>
              </w:smartTag>
            </w:smartTag>
            <w:r w:rsidRPr="007505DD">
              <w:rPr>
                <w:color w:val="000000"/>
                <w:sz w:val="24"/>
                <w:szCs w:val="24"/>
              </w:rPr>
              <w:t xml:space="preserve"> Mental Health Catchment Area</w:t>
            </w:r>
          </w:p>
        </w:tc>
        <w:tc>
          <w:tcPr>
            <w:tcW w:w="1098" w:type="dxa"/>
            <w:tcBorders>
              <w:top w:val="nil"/>
              <w:left w:val="nil"/>
              <w:bottom w:val="single" w:sz="4" w:space="0" w:color="auto"/>
              <w:right w:val="single" w:sz="4" w:space="0" w:color="auto"/>
            </w:tcBorders>
            <w:vAlign w:val="bottom"/>
          </w:tcPr>
          <w:p w:rsidR="0074428D" w:rsidRPr="007505DD" w:rsidRDefault="0074428D" w:rsidP="007F66B5">
            <w:pPr>
              <w:rPr>
                <w:color w:val="000000"/>
                <w:sz w:val="24"/>
                <w:szCs w:val="24"/>
              </w:rPr>
            </w:pPr>
            <w:r w:rsidRPr="007505DD">
              <w:rPr>
                <w:color w:val="000000"/>
                <w:sz w:val="24"/>
                <w:szCs w:val="24"/>
              </w:rPr>
              <w:t>Mental Health</w:t>
            </w:r>
          </w:p>
        </w:tc>
        <w:tc>
          <w:tcPr>
            <w:tcW w:w="1100" w:type="dxa"/>
            <w:tcBorders>
              <w:top w:val="nil"/>
              <w:left w:val="nil"/>
              <w:bottom w:val="single" w:sz="4" w:space="0" w:color="auto"/>
              <w:right w:val="single" w:sz="4" w:space="0" w:color="auto"/>
            </w:tcBorders>
            <w:vAlign w:val="bottom"/>
          </w:tcPr>
          <w:p w:rsidR="0074428D" w:rsidRPr="007505DD" w:rsidRDefault="0074428D" w:rsidP="007F66B5">
            <w:pPr>
              <w:jc w:val="right"/>
              <w:rPr>
                <w:color w:val="000000"/>
                <w:sz w:val="24"/>
                <w:szCs w:val="24"/>
              </w:rPr>
            </w:pPr>
            <w:r w:rsidRPr="007505DD">
              <w:rPr>
                <w:color w:val="000000"/>
                <w:sz w:val="24"/>
                <w:szCs w:val="24"/>
              </w:rPr>
              <w:t>4.75</w:t>
            </w:r>
          </w:p>
        </w:tc>
        <w:tc>
          <w:tcPr>
            <w:tcW w:w="995" w:type="dxa"/>
            <w:tcBorders>
              <w:top w:val="nil"/>
              <w:left w:val="nil"/>
              <w:bottom w:val="single" w:sz="4" w:space="0" w:color="auto"/>
              <w:right w:val="single" w:sz="4" w:space="0" w:color="auto"/>
            </w:tcBorders>
            <w:vAlign w:val="bottom"/>
          </w:tcPr>
          <w:p w:rsidR="0074428D" w:rsidRPr="007505DD" w:rsidRDefault="0074428D" w:rsidP="007F66B5">
            <w:pPr>
              <w:jc w:val="right"/>
              <w:rPr>
                <w:color w:val="000000"/>
                <w:sz w:val="24"/>
                <w:szCs w:val="24"/>
              </w:rPr>
            </w:pPr>
            <w:r w:rsidRPr="007505DD">
              <w:rPr>
                <w:color w:val="000000"/>
                <w:sz w:val="24"/>
                <w:szCs w:val="24"/>
              </w:rPr>
              <w:t>26</w:t>
            </w:r>
          </w:p>
        </w:tc>
        <w:tc>
          <w:tcPr>
            <w:tcW w:w="1305" w:type="dxa"/>
            <w:tcBorders>
              <w:top w:val="nil"/>
              <w:left w:val="nil"/>
              <w:bottom w:val="single" w:sz="4" w:space="0" w:color="auto"/>
              <w:right w:val="single" w:sz="4" w:space="0" w:color="auto"/>
            </w:tcBorders>
            <w:vAlign w:val="bottom"/>
          </w:tcPr>
          <w:p w:rsidR="0074428D" w:rsidRPr="007505DD" w:rsidRDefault="0074428D" w:rsidP="007F66B5">
            <w:pPr>
              <w:jc w:val="right"/>
              <w:rPr>
                <w:color w:val="000000"/>
                <w:sz w:val="24"/>
                <w:szCs w:val="24"/>
              </w:rPr>
            </w:pPr>
            <w:r w:rsidRPr="007505DD">
              <w:rPr>
                <w:color w:val="000000"/>
                <w:sz w:val="24"/>
                <w:szCs w:val="24"/>
              </w:rPr>
              <w:t>614,980</w:t>
            </w:r>
          </w:p>
        </w:tc>
        <w:tc>
          <w:tcPr>
            <w:tcW w:w="1217" w:type="dxa"/>
            <w:tcBorders>
              <w:top w:val="nil"/>
              <w:left w:val="nil"/>
              <w:bottom w:val="single" w:sz="4" w:space="0" w:color="auto"/>
              <w:right w:val="single" w:sz="4" w:space="0" w:color="auto"/>
            </w:tcBorders>
            <w:vAlign w:val="bottom"/>
          </w:tcPr>
          <w:p w:rsidR="0074428D" w:rsidRPr="007505DD" w:rsidRDefault="0074428D" w:rsidP="007F66B5">
            <w:pPr>
              <w:rPr>
                <w:color w:val="000000"/>
                <w:sz w:val="24"/>
                <w:szCs w:val="24"/>
              </w:rPr>
            </w:pPr>
            <w:r w:rsidRPr="007505DD">
              <w:rPr>
                <w:color w:val="000000"/>
                <w:sz w:val="24"/>
                <w:szCs w:val="24"/>
              </w:rPr>
              <w:t>23</w:t>
            </w:r>
            <w:r>
              <w:rPr>
                <w:color w:val="000000"/>
                <w:sz w:val="24"/>
                <w:szCs w:val="24"/>
              </w:rPr>
              <w:t>,</w:t>
            </w:r>
            <w:r w:rsidRPr="007505DD">
              <w:rPr>
                <w:color w:val="000000"/>
                <w:sz w:val="24"/>
                <w:szCs w:val="24"/>
              </w:rPr>
              <w:t>653:1</w:t>
            </w:r>
          </w:p>
        </w:tc>
        <w:tc>
          <w:tcPr>
            <w:tcW w:w="960" w:type="dxa"/>
            <w:tcBorders>
              <w:top w:val="nil"/>
              <w:left w:val="nil"/>
              <w:bottom w:val="single" w:sz="4" w:space="0" w:color="auto"/>
              <w:right w:val="single" w:sz="4" w:space="0" w:color="auto"/>
            </w:tcBorders>
            <w:vAlign w:val="bottom"/>
          </w:tcPr>
          <w:p w:rsidR="0074428D" w:rsidRPr="007505DD" w:rsidRDefault="0074428D" w:rsidP="007F66B5">
            <w:pPr>
              <w:jc w:val="right"/>
              <w:rPr>
                <w:color w:val="000000"/>
                <w:sz w:val="24"/>
                <w:szCs w:val="24"/>
              </w:rPr>
            </w:pPr>
            <w:r w:rsidRPr="007505DD">
              <w:rPr>
                <w:color w:val="000000"/>
                <w:sz w:val="24"/>
                <w:szCs w:val="24"/>
              </w:rPr>
              <w:t>17</w:t>
            </w:r>
          </w:p>
        </w:tc>
      </w:tr>
      <w:tr w:rsidR="0074428D" w:rsidRPr="007505DD">
        <w:trPr>
          <w:trHeight w:val="600"/>
        </w:trPr>
        <w:tc>
          <w:tcPr>
            <w:tcW w:w="2045" w:type="dxa"/>
            <w:tcBorders>
              <w:top w:val="nil"/>
              <w:left w:val="single" w:sz="4" w:space="0" w:color="auto"/>
              <w:bottom w:val="single" w:sz="4" w:space="0" w:color="auto"/>
              <w:right w:val="single" w:sz="4" w:space="0" w:color="auto"/>
            </w:tcBorders>
            <w:vAlign w:val="bottom"/>
          </w:tcPr>
          <w:p w:rsidR="0074428D" w:rsidRPr="007505DD" w:rsidRDefault="0074428D" w:rsidP="007F66B5">
            <w:pPr>
              <w:rPr>
                <w:color w:val="000000"/>
                <w:sz w:val="24"/>
                <w:szCs w:val="24"/>
              </w:rPr>
            </w:pPr>
            <w:r w:rsidRPr="007505DD">
              <w:rPr>
                <w:color w:val="000000"/>
                <w:sz w:val="24"/>
                <w:szCs w:val="24"/>
              </w:rPr>
              <w:t xml:space="preserve">Laughlin - Southern </w:t>
            </w:r>
            <w:smartTag w:uri="urn:schemas-microsoft-com:office:smarttags" w:element="PlaceName">
              <w:smartTag w:uri="urn:schemas-microsoft-com:office:smarttags" w:element="place">
                <w:r w:rsidRPr="007505DD">
                  <w:rPr>
                    <w:color w:val="000000"/>
                    <w:sz w:val="24"/>
                    <w:szCs w:val="24"/>
                  </w:rPr>
                  <w:t>Clark</w:t>
                </w:r>
              </w:smartTag>
              <w:r w:rsidRPr="007505DD">
                <w:rPr>
                  <w:color w:val="000000"/>
                  <w:sz w:val="24"/>
                  <w:szCs w:val="24"/>
                </w:rPr>
                <w:t xml:space="preserve"> </w:t>
              </w:r>
              <w:smartTag w:uri="urn:schemas-microsoft-com:office:smarttags" w:element="PlaceType">
                <w:r w:rsidRPr="007505DD">
                  <w:rPr>
                    <w:color w:val="000000"/>
                    <w:sz w:val="24"/>
                    <w:szCs w:val="24"/>
                  </w:rPr>
                  <w:t>County</w:t>
                </w:r>
              </w:smartTag>
            </w:smartTag>
          </w:p>
        </w:tc>
        <w:tc>
          <w:tcPr>
            <w:tcW w:w="1098" w:type="dxa"/>
            <w:tcBorders>
              <w:top w:val="nil"/>
              <w:left w:val="nil"/>
              <w:bottom w:val="single" w:sz="4" w:space="0" w:color="auto"/>
              <w:right w:val="single" w:sz="4" w:space="0" w:color="auto"/>
            </w:tcBorders>
            <w:vAlign w:val="bottom"/>
          </w:tcPr>
          <w:p w:rsidR="0074428D" w:rsidRPr="007505DD" w:rsidRDefault="0074428D" w:rsidP="007F66B5">
            <w:pPr>
              <w:rPr>
                <w:color w:val="000000"/>
                <w:sz w:val="24"/>
                <w:szCs w:val="24"/>
              </w:rPr>
            </w:pPr>
            <w:r w:rsidRPr="007505DD">
              <w:rPr>
                <w:color w:val="000000"/>
                <w:sz w:val="24"/>
                <w:szCs w:val="24"/>
              </w:rPr>
              <w:t>Mental Health</w:t>
            </w:r>
          </w:p>
        </w:tc>
        <w:tc>
          <w:tcPr>
            <w:tcW w:w="1100" w:type="dxa"/>
            <w:tcBorders>
              <w:top w:val="nil"/>
              <w:left w:val="nil"/>
              <w:bottom w:val="single" w:sz="4" w:space="0" w:color="auto"/>
              <w:right w:val="single" w:sz="4" w:space="0" w:color="auto"/>
            </w:tcBorders>
            <w:vAlign w:val="bottom"/>
          </w:tcPr>
          <w:p w:rsidR="0074428D" w:rsidRPr="007505DD" w:rsidRDefault="0074428D" w:rsidP="007F66B5">
            <w:pPr>
              <w:jc w:val="right"/>
              <w:rPr>
                <w:color w:val="000000"/>
                <w:sz w:val="24"/>
                <w:szCs w:val="24"/>
              </w:rPr>
            </w:pPr>
            <w:r w:rsidRPr="007505DD">
              <w:rPr>
                <w:color w:val="000000"/>
                <w:sz w:val="24"/>
                <w:szCs w:val="24"/>
              </w:rPr>
              <w:t>0.28</w:t>
            </w:r>
          </w:p>
        </w:tc>
        <w:tc>
          <w:tcPr>
            <w:tcW w:w="995" w:type="dxa"/>
            <w:tcBorders>
              <w:top w:val="nil"/>
              <w:left w:val="nil"/>
              <w:bottom w:val="single" w:sz="4" w:space="0" w:color="auto"/>
              <w:right w:val="single" w:sz="4" w:space="0" w:color="auto"/>
            </w:tcBorders>
            <w:vAlign w:val="bottom"/>
          </w:tcPr>
          <w:p w:rsidR="0074428D" w:rsidRPr="007505DD" w:rsidRDefault="0074428D" w:rsidP="007F66B5">
            <w:pPr>
              <w:jc w:val="right"/>
              <w:rPr>
                <w:color w:val="000000"/>
                <w:sz w:val="24"/>
                <w:szCs w:val="24"/>
              </w:rPr>
            </w:pPr>
            <w:r w:rsidRPr="007505DD">
              <w:rPr>
                <w:color w:val="000000"/>
                <w:sz w:val="24"/>
                <w:szCs w:val="24"/>
              </w:rPr>
              <w:t>0</w:t>
            </w:r>
          </w:p>
        </w:tc>
        <w:tc>
          <w:tcPr>
            <w:tcW w:w="1305" w:type="dxa"/>
            <w:tcBorders>
              <w:top w:val="nil"/>
              <w:left w:val="nil"/>
              <w:bottom w:val="single" w:sz="4" w:space="0" w:color="auto"/>
              <w:right w:val="single" w:sz="4" w:space="0" w:color="auto"/>
            </w:tcBorders>
            <w:vAlign w:val="bottom"/>
          </w:tcPr>
          <w:p w:rsidR="0074428D" w:rsidRPr="007505DD" w:rsidRDefault="0074428D" w:rsidP="007F66B5">
            <w:pPr>
              <w:jc w:val="right"/>
              <w:rPr>
                <w:color w:val="000000"/>
                <w:sz w:val="24"/>
                <w:szCs w:val="24"/>
              </w:rPr>
            </w:pPr>
            <w:r w:rsidRPr="007505DD">
              <w:rPr>
                <w:color w:val="000000"/>
                <w:sz w:val="24"/>
                <w:szCs w:val="24"/>
              </w:rPr>
              <w:t>8444</w:t>
            </w:r>
          </w:p>
        </w:tc>
        <w:tc>
          <w:tcPr>
            <w:tcW w:w="1217" w:type="dxa"/>
            <w:tcBorders>
              <w:top w:val="nil"/>
              <w:left w:val="nil"/>
              <w:bottom w:val="single" w:sz="4" w:space="0" w:color="auto"/>
              <w:right w:val="single" w:sz="4" w:space="0" w:color="auto"/>
            </w:tcBorders>
            <w:vAlign w:val="bottom"/>
          </w:tcPr>
          <w:p w:rsidR="0074428D" w:rsidRPr="007505DD" w:rsidRDefault="0074428D" w:rsidP="007F66B5">
            <w:pPr>
              <w:rPr>
                <w:color w:val="000000"/>
                <w:sz w:val="24"/>
                <w:szCs w:val="24"/>
              </w:rPr>
            </w:pPr>
            <w:r w:rsidRPr="007505DD">
              <w:rPr>
                <w:color w:val="000000"/>
                <w:sz w:val="24"/>
                <w:szCs w:val="24"/>
              </w:rPr>
              <w:t>8</w:t>
            </w:r>
            <w:r>
              <w:rPr>
                <w:color w:val="000000"/>
                <w:sz w:val="24"/>
                <w:szCs w:val="24"/>
              </w:rPr>
              <w:t>,</w:t>
            </w:r>
            <w:r w:rsidRPr="007505DD">
              <w:rPr>
                <w:color w:val="000000"/>
                <w:sz w:val="24"/>
                <w:szCs w:val="24"/>
              </w:rPr>
              <w:t>444:0</w:t>
            </w:r>
          </w:p>
        </w:tc>
        <w:tc>
          <w:tcPr>
            <w:tcW w:w="960" w:type="dxa"/>
            <w:tcBorders>
              <w:top w:val="nil"/>
              <w:left w:val="nil"/>
              <w:bottom w:val="single" w:sz="4" w:space="0" w:color="auto"/>
              <w:right w:val="single" w:sz="4" w:space="0" w:color="auto"/>
            </w:tcBorders>
            <w:vAlign w:val="bottom"/>
          </w:tcPr>
          <w:p w:rsidR="0074428D" w:rsidRPr="007505DD" w:rsidRDefault="0074428D" w:rsidP="007F66B5">
            <w:pPr>
              <w:jc w:val="right"/>
              <w:rPr>
                <w:color w:val="000000"/>
                <w:sz w:val="24"/>
                <w:szCs w:val="24"/>
              </w:rPr>
            </w:pPr>
            <w:r w:rsidRPr="007505DD">
              <w:rPr>
                <w:color w:val="000000"/>
                <w:sz w:val="24"/>
                <w:szCs w:val="24"/>
              </w:rPr>
              <w:t>12</w:t>
            </w:r>
          </w:p>
        </w:tc>
      </w:tr>
      <w:tr w:rsidR="0074428D" w:rsidRPr="007505DD">
        <w:trPr>
          <w:trHeight w:val="900"/>
        </w:trPr>
        <w:tc>
          <w:tcPr>
            <w:tcW w:w="2045" w:type="dxa"/>
            <w:tcBorders>
              <w:top w:val="nil"/>
              <w:left w:val="single" w:sz="4" w:space="0" w:color="auto"/>
              <w:bottom w:val="single" w:sz="4" w:space="0" w:color="auto"/>
              <w:right w:val="single" w:sz="4" w:space="0" w:color="auto"/>
            </w:tcBorders>
            <w:vAlign w:val="bottom"/>
          </w:tcPr>
          <w:p w:rsidR="0074428D" w:rsidRPr="007505DD" w:rsidRDefault="0074428D" w:rsidP="007F66B5">
            <w:pPr>
              <w:rPr>
                <w:color w:val="000000"/>
                <w:sz w:val="24"/>
                <w:szCs w:val="24"/>
              </w:rPr>
            </w:pPr>
            <w:smartTag w:uri="urn:schemas-microsoft-com:office:smarttags" w:element="place">
              <w:r w:rsidRPr="007505DD">
                <w:rPr>
                  <w:color w:val="000000"/>
                  <w:sz w:val="24"/>
                  <w:szCs w:val="24"/>
                </w:rPr>
                <w:t>Northern Nevada</w:t>
              </w:r>
            </w:smartTag>
            <w:r w:rsidRPr="007505DD">
              <w:rPr>
                <w:color w:val="000000"/>
                <w:sz w:val="24"/>
                <w:szCs w:val="24"/>
              </w:rPr>
              <w:t xml:space="preserve"> Mental Health Catchment Area</w:t>
            </w:r>
          </w:p>
        </w:tc>
        <w:tc>
          <w:tcPr>
            <w:tcW w:w="1098" w:type="dxa"/>
            <w:tcBorders>
              <w:top w:val="nil"/>
              <w:left w:val="nil"/>
              <w:bottom w:val="single" w:sz="4" w:space="0" w:color="auto"/>
              <w:right w:val="single" w:sz="4" w:space="0" w:color="auto"/>
            </w:tcBorders>
            <w:vAlign w:val="bottom"/>
          </w:tcPr>
          <w:p w:rsidR="0074428D" w:rsidRPr="007505DD" w:rsidRDefault="0074428D" w:rsidP="007F66B5">
            <w:pPr>
              <w:rPr>
                <w:color w:val="000000"/>
                <w:sz w:val="24"/>
                <w:szCs w:val="24"/>
              </w:rPr>
            </w:pPr>
            <w:r w:rsidRPr="007505DD">
              <w:rPr>
                <w:color w:val="000000"/>
                <w:sz w:val="24"/>
                <w:szCs w:val="24"/>
              </w:rPr>
              <w:t>Mental Health</w:t>
            </w:r>
          </w:p>
        </w:tc>
        <w:tc>
          <w:tcPr>
            <w:tcW w:w="1100" w:type="dxa"/>
            <w:tcBorders>
              <w:top w:val="nil"/>
              <w:left w:val="nil"/>
              <w:bottom w:val="single" w:sz="4" w:space="0" w:color="auto"/>
              <w:right w:val="single" w:sz="4" w:space="0" w:color="auto"/>
            </w:tcBorders>
            <w:vAlign w:val="bottom"/>
          </w:tcPr>
          <w:p w:rsidR="0074428D" w:rsidRPr="007505DD" w:rsidRDefault="0074428D" w:rsidP="007F66B5">
            <w:pPr>
              <w:jc w:val="right"/>
              <w:rPr>
                <w:color w:val="000000"/>
                <w:sz w:val="24"/>
                <w:szCs w:val="24"/>
              </w:rPr>
            </w:pPr>
            <w:r w:rsidRPr="007505DD">
              <w:rPr>
                <w:color w:val="000000"/>
                <w:sz w:val="24"/>
                <w:szCs w:val="24"/>
              </w:rPr>
              <w:t>0</w:t>
            </w:r>
          </w:p>
        </w:tc>
        <w:tc>
          <w:tcPr>
            <w:tcW w:w="995" w:type="dxa"/>
            <w:tcBorders>
              <w:top w:val="nil"/>
              <w:left w:val="nil"/>
              <w:bottom w:val="single" w:sz="4" w:space="0" w:color="auto"/>
              <w:right w:val="single" w:sz="4" w:space="0" w:color="auto"/>
            </w:tcBorders>
            <w:vAlign w:val="bottom"/>
          </w:tcPr>
          <w:p w:rsidR="0074428D" w:rsidRPr="007505DD" w:rsidRDefault="0074428D" w:rsidP="007F66B5">
            <w:pPr>
              <w:jc w:val="right"/>
              <w:rPr>
                <w:color w:val="000000"/>
                <w:sz w:val="24"/>
                <w:szCs w:val="24"/>
              </w:rPr>
            </w:pPr>
            <w:r w:rsidRPr="007505DD">
              <w:rPr>
                <w:color w:val="000000"/>
                <w:sz w:val="24"/>
                <w:szCs w:val="24"/>
              </w:rPr>
              <w:t>35.2</w:t>
            </w:r>
          </w:p>
        </w:tc>
        <w:tc>
          <w:tcPr>
            <w:tcW w:w="1305" w:type="dxa"/>
            <w:tcBorders>
              <w:top w:val="nil"/>
              <w:left w:val="nil"/>
              <w:bottom w:val="single" w:sz="4" w:space="0" w:color="auto"/>
              <w:right w:val="single" w:sz="4" w:space="0" w:color="auto"/>
            </w:tcBorders>
            <w:vAlign w:val="bottom"/>
          </w:tcPr>
          <w:p w:rsidR="0074428D" w:rsidRPr="007505DD" w:rsidRDefault="0074428D" w:rsidP="007F66B5">
            <w:pPr>
              <w:jc w:val="right"/>
              <w:rPr>
                <w:color w:val="000000"/>
                <w:sz w:val="24"/>
                <w:szCs w:val="24"/>
              </w:rPr>
            </w:pPr>
            <w:r w:rsidRPr="007505DD">
              <w:rPr>
                <w:color w:val="000000"/>
                <w:sz w:val="24"/>
                <w:szCs w:val="24"/>
              </w:rPr>
              <w:t>680,837</w:t>
            </w:r>
          </w:p>
        </w:tc>
        <w:tc>
          <w:tcPr>
            <w:tcW w:w="1217" w:type="dxa"/>
            <w:tcBorders>
              <w:top w:val="nil"/>
              <w:left w:val="nil"/>
              <w:bottom w:val="single" w:sz="4" w:space="0" w:color="auto"/>
              <w:right w:val="single" w:sz="4" w:space="0" w:color="auto"/>
            </w:tcBorders>
            <w:vAlign w:val="bottom"/>
          </w:tcPr>
          <w:p w:rsidR="0074428D" w:rsidRPr="007505DD" w:rsidRDefault="0074428D" w:rsidP="007F66B5">
            <w:pPr>
              <w:rPr>
                <w:color w:val="000000"/>
                <w:sz w:val="24"/>
                <w:szCs w:val="24"/>
              </w:rPr>
            </w:pPr>
            <w:r w:rsidRPr="007505DD">
              <w:rPr>
                <w:color w:val="000000"/>
                <w:sz w:val="24"/>
                <w:szCs w:val="24"/>
              </w:rPr>
              <w:t>19</w:t>
            </w:r>
            <w:r>
              <w:rPr>
                <w:color w:val="000000"/>
                <w:sz w:val="24"/>
                <w:szCs w:val="24"/>
              </w:rPr>
              <w:t>,</w:t>
            </w:r>
            <w:r w:rsidRPr="007505DD">
              <w:rPr>
                <w:color w:val="000000"/>
                <w:sz w:val="24"/>
                <w:szCs w:val="24"/>
              </w:rPr>
              <w:t>342:1</w:t>
            </w:r>
          </w:p>
        </w:tc>
        <w:tc>
          <w:tcPr>
            <w:tcW w:w="960" w:type="dxa"/>
            <w:tcBorders>
              <w:top w:val="nil"/>
              <w:left w:val="nil"/>
              <w:bottom w:val="single" w:sz="4" w:space="0" w:color="auto"/>
              <w:right w:val="single" w:sz="4" w:space="0" w:color="auto"/>
            </w:tcBorders>
            <w:vAlign w:val="bottom"/>
          </w:tcPr>
          <w:p w:rsidR="0074428D" w:rsidRPr="007505DD" w:rsidRDefault="0074428D" w:rsidP="007F66B5">
            <w:pPr>
              <w:jc w:val="right"/>
              <w:rPr>
                <w:color w:val="000000"/>
                <w:sz w:val="24"/>
                <w:szCs w:val="24"/>
              </w:rPr>
            </w:pPr>
            <w:r w:rsidRPr="007505DD">
              <w:rPr>
                <w:color w:val="000000"/>
                <w:sz w:val="24"/>
                <w:szCs w:val="24"/>
              </w:rPr>
              <w:t>18</w:t>
            </w:r>
          </w:p>
        </w:tc>
      </w:tr>
      <w:tr w:rsidR="0074428D" w:rsidRPr="007505DD">
        <w:trPr>
          <w:trHeight w:val="600"/>
        </w:trPr>
        <w:tc>
          <w:tcPr>
            <w:tcW w:w="2045" w:type="dxa"/>
            <w:tcBorders>
              <w:top w:val="nil"/>
              <w:left w:val="single" w:sz="4" w:space="0" w:color="auto"/>
              <w:bottom w:val="single" w:sz="4" w:space="0" w:color="auto"/>
              <w:right w:val="single" w:sz="4" w:space="0" w:color="auto"/>
            </w:tcBorders>
            <w:vAlign w:val="bottom"/>
          </w:tcPr>
          <w:p w:rsidR="0074428D" w:rsidRPr="007505DD" w:rsidRDefault="0074428D" w:rsidP="007F66B5">
            <w:pPr>
              <w:rPr>
                <w:color w:val="000000"/>
                <w:sz w:val="24"/>
                <w:szCs w:val="24"/>
              </w:rPr>
            </w:pPr>
            <w:smartTag w:uri="urn:schemas-microsoft-com:office:smarttags" w:element="place">
              <w:r w:rsidRPr="007505DD">
                <w:rPr>
                  <w:color w:val="000000"/>
                  <w:sz w:val="24"/>
                  <w:szCs w:val="24"/>
                </w:rPr>
                <w:t>Southern Nevada</w:t>
              </w:r>
            </w:smartTag>
            <w:r w:rsidRPr="007505DD">
              <w:rPr>
                <w:color w:val="000000"/>
                <w:sz w:val="24"/>
                <w:szCs w:val="24"/>
              </w:rPr>
              <w:t xml:space="preserve"> Rural Catchment Area</w:t>
            </w:r>
          </w:p>
        </w:tc>
        <w:tc>
          <w:tcPr>
            <w:tcW w:w="1098" w:type="dxa"/>
            <w:tcBorders>
              <w:top w:val="nil"/>
              <w:left w:val="nil"/>
              <w:bottom w:val="single" w:sz="4" w:space="0" w:color="auto"/>
              <w:right w:val="single" w:sz="4" w:space="0" w:color="auto"/>
            </w:tcBorders>
            <w:vAlign w:val="bottom"/>
          </w:tcPr>
          <w:p w:rsidR="0074428D" w:rsidRPr="007505DD" w:rsidRDefault="0074428D" w:rsidP="007F66B5">
            <w:pPr>
              <w:rPr>
                <w:color w:val="000000"/>
                <w:sz w:val="24"/>
                <w:szCs w:val="24"/>
              </w:rPr>
            </w:pPr>
            <w:r w:rsidRPr="007505DD">
              <w:rPr>
                <w:color w:val="000000"/>
                <w:sz w:val="24"/>
                <w:szCs w:val="24"/>
              </w:rPr>
              <w:t>Mental Health</w:t>
            </w:r>
          </w:p>
        </w:tc>
        <w:tc>
          <w:tcPr>
            <w:tcW w:w="1100" w:type="dxa"/>
            <w:tcBorders>
              <w:top w:val="nil"/>
              <w:left w:val="nil"/>
              <w:bottom w:val="single" w:sz="4" w:space="0" w:color="auto"/>
              <w:right w:val="single" w:sz="4" w:space="0" w:color="auto"/>
            </w:tcBorders>
            <w:vAlign w:val="bottom"/>
          </w:tcPr>
          <w:p w:rsidR="0074428D" w:rsidRPr="007505DD" w:rsidRDefault="0074428D" w:rsidP="007F66B5">
            <w:pPr>
              <w:jc w:val="right"/>
              <w:rPr>
                <w:color w:val="000000"/>
                <w:sz w:val="24"/>
                <w:szCs w:val="24"/>
              </w:rPr>
            </w:pPr>
            <w:r w:rsidRPr="007505DD">
              <w:rPr>
                <w:color w:val="000000"/>
                <w:sz w:val="24"/>
                <w:szCs w:val="24"/>
              </w:rPr>
              <w:t>2.43</w:t>
            </w:r>
          </w:p>
        </w:tc>
        <w:tc>
          <w:tcPr>
            <w:tcW w:w="995" w:type="dxa"/>
            <w:tcBorders>
              <w:top w:val="nil"/>
              <w:left w:val="nil"/>
              <w:bottom w:val="single" w:sz="4" w:space="0" w:color="auto"/>
              <w:right w:val="single" w:sz="4" w:space="0" w:color="auto"/>
            </w:tcBorders>
            <w:vAlign w:val="bottom"/>
          </w:tcPr>
          <w:p w:rsidR="0074428D" w:rsidRPr="007505DD" w:rsidRDefault="0074428D" w:rsidP="007F66B5">
            <w:pPr>
              <w:jc w:val="right"/>
              <w:rPr>
                <w:color w:val="000000"/>
                <w:sz w:val="24"/>
                <w:szCs w:val="24"/>
              </w:rPr>
            </w:pPr>
            <w:r w:rsidRPr="007505DD">
              <w:rPr>
                <w:color w:val="000000"/>
                <w:sz w:val="24"/>
                <w:szCs w:val="24"/>
              </w:rPr>
              <w:t>0.3</w:t>
            </w:r>
          </w:p>
        </w:tc>
        <w:tc>
          <w:tcPr>
            <w:tcW w:w="1305" w:type="dxa"/>
            <w:tcBorders>
              <w:top w:val="nil"/>
              <w:left w:val="nil"/>
              <w:bottom w:val="single" w:sz="4" w:space="0" w:color="auto"/>
              <w:right w:val="single" w:sz="4" w:space="0" w:color="auto"/>
            </w:tcBorders>
            <w:vAlign w:val="bottom"/>
          </w:tcPr>
          <w:p w:rsidR="0074428D" w:rsidRPr="007505DD" w:rsidRDefault="0074428D" w:rsidP="007F66B5">
            <w:pPr>
              <w:jc w:val="right"/>
              <w:rPr>
                <w:color w:val="000000"/>
                <w:sz w:val="24"/>
                <w:szCs w:val="24"/>
              </w:rPr>
            </w:pPr>
            <w:r w:rsidRPr="007505DD">
              <w:rPr>
                <w:color w:val="000000"/>
                <w:sz w:val="24"/>
                <w:szCs w:val="24"/>
              </w:rPr>
              <w:t>75,824</w:t>
            </w:r>
          </w:p>
        </w:tc>
        <w:tc>
          <w:tcPr>
            <w:tcW w:w="1217" w:type="dxa"/>
            <w:tcBorders>
              <w:top w:val="nil"/>
              <w:left w:val="nil"/>
              <w:bottom w:val="single" w:sz="4" w:space="0" w:color="auto"/>
              <w:right w:val="single" w:sz="4" w:space="0" w:color="auto"/>
            </w:tcBorders>
            <w:vAlign w:val="bottom"/>
          </w:tcPr>
          <w:p w:rsidR="0074428D" w:rsidRPr="007505DD" w:rsidRDefault="0074428D" w:rsidP="007F66B5">
            <w:pPr>
              <w:rPr>
                <w:color w:val="000000"/>
                <w:sz w:val="24"/>
                <w:szCs w:val="24"/>
              </w:rPr>
            </w:pPr>
            <w:r w:rsidRPr="007505DD">
              <w:rPr>
                <w:color w:val="000000"/>
                <w:sz w:val="24"/>
                <w:szCs w:val="24"/>
              </w:rPr>
              <w:t>75</w:t>
            </w:r>
            <w:r>
              <w:rPr>
                <w:color w:val="000000"/>
                <w:sz w:val="24"/>
                <w:szCs w:val="24"/>
              </w:rPr>
              <w:t>,</w:t>
            </w:r>
            <w:r w:rsidRPr="007505DD">
              <w:rPr>
                <w:color w:val="000000"/>
                <w:sz w:val="24"/>
                <w:szCs w:val="24"/>
              </w:rPr>
              <w:t>8240:1</w:t>
            </w:r>
          </w:p>
        </w:tc>
        <w:tc>
          <w:tcPr>
            <w:tcW w:w="960" w:type="dxa"/>
            <w:tcBorders>
              <w:top w:val="nil"/>
              <w:left w:val="nil"/>
              <w:bottom w:val="single" w:sz="4" w:space="0" w:color="auto"/>
              <w:right w:val="single" w:sz="4" w:space="0" w:color="auto"/>
            </w:tcBorders>
            <w:vAlign w:val="bottom"/>
          </w:tcPr>
          <w:p w:rsidR="0074428D" w:rsidRPr="007505DD" w:rsidRDefault="0074428D" w:rsidP="007F66B5">
            <w:pPr>
              <w:jc w:val="right"/>
              <w:rPr>
                <w:color w:val="000000"/>
                <w:sz w:val="24"/>
                <w:szCs w:val="24"/>
              </w:rPr>
            </w:pPr>
            <w:r w:rsidRPr="007505DD">
              <w:rPr>
                <w:color w:val="000000"/>
                <w:sz w:val="24"/>
                <w:szCs w:val="24"/>
              </w:rPr>
              <w:t>18</w:t>
            </w:r>
          </w:p>
        </w:tc>
      </w:tr>
      <w:tr w:rsidR="0074428D" w:rsidRPr="007505DD">
        <w:trPr>
          <w:trHeight w:val="98"/>
        </w:trPr>
        <w:tc>
          <w:tcPr>
            <w:tcW w:w="2045" w:type="dxa"/>
            <w:tcBorders>
              <w:top w:val="single" w:sz="4" w:space="0" w:color="auto"/>
              <w:left w:val="single" w:sz="4" w:space="0" w:color="auto"/>
              <w:bottom w:val="single" w:sz="4" w:space="0" w:color="auto"/>
              <w:right w:val="single" w:sz="4" w:space="0" w:color="auto"/>
            </w:tcBorders>
            <w:vAlign w:val="bottom"/>
          </w:tcPr>
          <w:p w:rsidR="0074428D" w:rsidRPr="007505DD" w:rsidRDefault="0074428D" w:rsidP="007F66B5">
            <w:pPr>
              <w:rPr>
                <w:b/>
                <w:bCs/>
                <w:color w:val="000000"/>
                <w:sz w:val="24"/>
                <w:szCs w:val="24"/>
              </w:rPr>
            </w:pPr>
            <w:r w:rsidRPr="007505DD">
              <w:rPr>
                <w:b/>
                <w:bCs/>
                <w:color w:val="000000"/>
                <w:sz w:val="24"/>
                <w:szCs w:val="24"/>
              </w:rPr>
              <w:t>Total</w:t>
            </w:r>
          </w:p>
        </w:tc>
        <w:tc>
          <w:tcPr>
            <w:tcW w:w="1098" w:type="dxa"/>
            <w:tcBorders>
              <w:top w:val="single" w:sz="4" w:space="0" w:color="auto"/>
              <w:left w:val="nil"/>
              <w:bottom w:val="single" w:sz="4" w:space="0" w:color="auto"/>
              <w:right w:val="single" w:sz="4" w:space="0" w:color="auto"/>
            </w:tcBorders>
            <w:noWrap/>
            <w:vAlign w:val="bottom"/>
          </w:tcPr>
          <w:p w:rsidR="0074428D" w:rsidRPr="007505DD" w:rsidRDefault="0074428D" w:rsidP="007F66B5">
            <w:pPr>
              <w:rPr>
                <w:b/>
                <w:bCs/>
                <w:color w:val="000000"/>
                <w:sz w:val="24"/>
                <w:szCs w:val="24"/>
              </w:rPr>
            </w:pPr>
            <w:r w:rsidRPr="007505DD">
              <w:rPr>
                <w:b/>
                <w:bCs/>
                <w:color w:val="000000"/>
                <w:sz w:val="24"/>
                <w:szCs w:val="24"/>
              </w:rPr>
              <w:t> </w:t>
            </w:r>
          </w:p>
        </w:tc>
        <w:tc>
          <w:tcPr>
            <w:tcW w:w="1100" w:type="dxa"/>
            <w:tcBorders>
              <w:top w:val="single" w:sz="4" w:space="0" w:color="auto"/>
              <w:left w:val="nil"/>
              <w:bottom w:val="single" w:sz="4" w:space="0" w:color="auto"/>
              <w:right w:val="single" w:sz="4" w:space="0" w:color="auto"/>
            </w:tcBorders>
            <w:noWrap/>
            <w:vAlign w:val="bottom"/>
          </w:tcPr>
          <w:p w:rsidR="0074428D" w:rsidRPr="007505DD" w:rsidRDefault="0074428D" w:rsidP="007F66B5">
            <w:pPr>
              <w:jc w:val="right"/>
              <w:rPr>
                <w:b/>
                <w:bCs/>
                <w:color w:val="000000"/>
                <w:sz w:val="24"/>
                <w:szCs w:val="24"/>
              </w:rPr>
            </w:pPr>
            <w:r w:rsidRPr="007505DD">
              <w:rPr>
                <w:b/>
                <w:bCs/>
                <w:color w:val="000000"/>
                <w:sz w:val="24"/>
                <w:szCs w:val="24"/>
              </w:rPr>
              <w:t>8.75</w:t>
            </w:r>
          </w:p>
        </w:tc>
        <w:tc>
          <w:tcPr>
            <w:tcW w:w="995" w:type="dxa"/>
            <w:tcBorders>
              <w:top w:val="single" w:sz="4" w:space="0" w:color="auto"/>
              <w:left w:val="nil"/>
              <w:bottom w:val="single" w:sz="4" w:space="0" w:color="auto"/>
              <w:right w:val="single" w:sz="4" w:space="0" w:color="auto"/>
            </w:tcBorders>
            <w:noWrap/>
            <w:vAlign w:val="bottom"/>
          </w:tcPr>
          <w:p w:rsidR="0074428D" w:rsidRPr="007505DD" w:rsidRDefault="0074428D" w:rsidP="007F66B5">
            <w:pPr>
              <w:jc w:val="right"/>
              <w:rPr>
                <w:b/>
                <w:bCs/>
                <w:color w:val="000000"/>
                <w:sz w:val="24"/>
                <w:szCs w:val="24"/>
              </w:rPr>
            </w:pPr>
            <w:r w:rsidRPr="007505DD">
              <w:rPr>
                <w:b/>
                <w:bCs/>
                <w:color w:val="000000"/>
                <w:sz w:val="24"/>
                <w:szCs w:val="24"/>
              </w:rPr>
              <w:t>61.5</w:t>
            </w:r>
          </w:p>
        </w:tc>
        <w:tc>
          <w:tcPr>
            <w:tcW w:w="1305" w:type="dxa"/>
            <w:tcBorders>
              <w:top w:val="single" w:sz="4" w:space="0" w:color="auto"/>
              <w:left w:val="nil"/>
              <w:bottom w:val="single" w:sz="4" w:space="0" w:color="auto"/>
              <w:right w:val="single" w:sz="4" w:space="0" w:color="auto"/>
            </w:tcBorders>
            <w:noWrap/>
            <w:vAlign w:val="bottom"/>
          </w:tcPr>
          <w:p w:rsidR="0074428D" w:rsidRPr="007505DD" w:rsidRDefault="0074428D" w:rsidP="007F66B5">
            <w:pPr>
              <w:rPr>
                <w:b/>
                <w:bCs/>
                <w:color w:val="000000"/>
                <w:sz w:val="24"/>
                <w:szCs w:val="24"/>
              </w:rPr>
            </w:pPr>
            <w:r w:rsidRPr="007505DD">
              <w:rPr>
                <w:b/>
                <w:bCs/>
                <w:color w:val="000000"/>
                <w:sz w:val="24"/>
                <w:szCs w:val="24"/>
              </w:rPr>
              <w:t> </w:t>
            </w:r>
          </w:p>
        </w:tc>
        <w:tc>
          <w:tcPr>
            <w:tcW w:w="1217" w:type="dxa"/>
            <w:tcBorders>
              <w:top w:val="single" w:sz="4" w:space="0" w:color="auto"/>
              <w:left w:val="nil"/>
              <w:bottom w:val="single" w:sz="4" w:space="0" w:color="auto"/>
              <w:right w:val="single" w:sz="4" w:space="0" w:color="auto"/>
            </w:tcBorders>
            <w:noWrap/>
            <w:vAlign w:val="bottom"/>
          </w:tcPr>
          <w:p w:rsidR="0074428D" w:rsidRPr="007505DD" w:rsidRDefault="0074428D" w:rsidP="007F66B5">
            <w:pPr>
              <w:rPr>
                <w:b/>
                <w:bCs/>
                <w:color w:val="000000"/>
                <w:sz w:val="24"/>
                <w:szCs w:val="24"/>
              </w:rPr>
            </w:pPr>
            <w:r w:rsidRPr="007505DD">
              <w:rPr>
                <w:b/>
                <w:bCs/>
                <w:color w:val="000000"/>
                <w:sz w:val="24"/>
                <w:szCs w:val="24"/>
              </w:rPr>
              <w:t> </w:t>
            </w:r>
          </w:p>
        </w:tc>
        <w:tc>
          <w:tcPr>
            <w:tcW w:w="960" w:type="dxa"/>
            <w:tcBorders>
              <w:top w:val="single" w:sz="4" w:space="0" w:color="auto"/>
              <w:left w:val="nil"/>
              <w:bottom w:val="single" w:sz="4" w:space="0" w:color="auto"/>
              <w:right w:val="single" w:sz="4" w:space="0" w:color="auto"/>
            </w:tcBorders>
            <w:noWrap/>
            <w:vAlign w:val="bottom"/>
          </w:tcPr>
          <w:p w:rsidR="0074428D" w:rsidRPr="007505DD" w:rsidRDefault="0074428D" w:rsidP="007F66B5">
            <w:pPr>
              <w:rPr>
                <w:b/>
                <w:bCs/>
                <w:color w:val="000000"/>
                <w:sz w:val="24"/>
                <w:szCs w:val="24"/>
              </w:rPr>
            </w:pPr>
            <w:r w:rsidRPr="007505DD">
              <w:rPr>
                <w:b/>
                <w:bCs/>
                <w:color w:val="000000"/>
                <w:sz w:val="24"/>
                <w:szCs w:val="24"/>
              </w:rPr>
              <w:t> </w:t>
            </w:r>
          </w:p>
        </w:tc>
      </w:tr>
      <w:tr w:rsidR="0074428D" w:rsidRPr="007505DD">
        <w:trPr>
          <w:trHeight w:val="300"/>
        </w:trPr>
        <w:tc>
          <w:tcPr>
            <w:tcW w:w="8720" w:type="dxa"/>
            <w:gridSpan w:val="7"/>
            <w:tcBorders>
              <w:top w:val="single" w:sz="4" w:space="0" w:color="auto"/>
              <w:left w:val="single" w:sz="4" w:space="0" w:color="auto"/>
              <w:bottom w:val="single" w:sz="4" w:space="0" w:color="auto"/>
              <w:right w:val="single" w:sz="4" w:space="0" w:color="auto"/>
            </w:tcBorders>
            <w:vAlign w:val="bottom"/>
          </w:tcPr>
          <w:p w:rsidR="0074428D" w:rsidRPr="007505DD" w:rsidRDefault="0074428D" w:rsidP="007F66B5">
            <w:pPr>
              <w:rPr>
                <w:sz w:val="24"/>
                <w:szCs w:val="24"/>
              </w:rPr>
            </w:pPr>
            <w:r w:rsidRPr="007505DD">
              <w:rPr>
                <w:sz w:val="24"/>
                <w:szCs w:val="24"/>
                <w:vertAlign w:val="superscript"/>
              </w:rPr>
              <w:t>1</w:t>
            </w:r>
            <w:r w:rsidRPr="007505DD">
              <w:rPr>
                <w:sz w:val="24"/>
                <w:szCs w:val="24"/>
              </w:rPr>
              <w:t>Mental health providers include out</w:t>
            </w:r>
            <w:r>
              <w:rPr>
                <w:sz w:val="24"/>
                <w:szCs w:val="24"/>
              </w:rPr>
              <w:t>patient psychiatrists (MD and DO</w:t>
            </w:r>
            <w:r w:rsidRPr="007505DD">
              <w:rPr>
                <w:sz w:val="24"/>
                <w:szCs w:val="24"/>
              </w:rPr>
              <w:t>).</w:t>
            </w:r>
          </w:p>
          <w:p w:rsidR="0074428D" w:rsidRPr="007505DD" w:rsidRDefault="0074428D" w:rsidP="007F66B5">
            <w:pPr>
              <w:rPr>
                <w:sz w:val="24"/>
                <w:szCs w:val="24"/>
              </w:rPr>
            </w:pPr>
            <w:r w:rsidRPr="007505DD">
              <w:rPr>
                <w:sz w:val="24"/>
                <w:szCs w:val="24"/>
                <w:vertAlign w:val="superscript"/>
              </w:rPr>
              <w:t>2</w:t>
            </w:r>
            <w:r w:rsidRPr="007505DD">
              <w:rPr>
                <w:sz w:val="24"/>
                <w:szCs w:val="24"/>
              </w:rPr>
              <w:t xml:space="preserve">Full Time Equivalency: 1 </w:t>
            </w:r>
            <w:smartTag w:uri="urn:schemas-microsoft-com:office:smarttags" w:element="stockticker">
              <w:r w:rsidRPr="007505DD">
                <w:rPr>
                  <w:sz w:val="24"/>
                  <w:szCs w:val="24"/>
                </w:rPr>
                <w:t>FTE</w:t>
              </w:r>
            </w:smartTag>
            <w:r w:rsidRPr="007505DD">
              <w:rPr>
                <w:sz w:val="24"/>
                <w:szCs w:val="24"/>
              </w:rPr>
              <w:t xml:space="preserve"> = 40 hour workweek of direct patient care</w:t>
            </w:r>
          </w:p>
        </w:tc>
      </w:tr>
    </w:tbl>
    <w:p w:rsidR="0074428D" w:rsidRDefault="0074428D" w:rsidP="009A7C59">
      <w:pPr>
        <w:rPr>
          <w:sz w:val="24"/>
          <w:szCs w:val="24"/>
        </w:rPr>
      </w:pPr>
    </w:p>
    <w:p w:rsidR="0074428D" w:rsidRDefault="0074428D" w:rsidP="00CE71B4">
      <w:pPr>
        <w:rPr>
          <w:sz w:val="24"/>
          <w:szCs w:val="24"/>
        </w:rPr>
      </w:pPr>
      <w:r>
        <w:rPr>
          <w:sz w:val="24"/>
          <w:szCs w:val="24"/>
        </w:rPr>
        <w:t xml:space="preserve">For mental health, scores are particularly high at 18 in the </w:t>
      </w:r>
      <w:smartTag w:uri="urn:schemas-microsoft-com:office:smarttags" w:element="place">
        <w:r>
          <w:rPr>
            <w:sz w:val="24"/>
            <w:szCs w:val="24"/>
          </w:rPr>
          <w:t>Northern Nevada</w:t>
        </w:r>
      </w:smartTag>
      <w:r>
        <w:rPr>
          <w:sz w:val="24"/>
          <w:szCs w:val="24"/>
        </w:rPr>
        <w:t xml:space="preserve"> and Southern Nevada Rural Catchment Areas, with a 17 for the </w:t>
      </w:r>
      <w:smartTag w:uri="urn:schemas-microsoft-com:office:smarttags" w:element="place">
        <w:smartTag w:uri="urn:schemas-microsoft-com:office:smarttags" w:element="City">
          <w:r>
            <w:rPr>
              <w:sz w:val="24"/>
              <w:szCs w:val="24"/>
            </w:rPr>
            <w:t>Las Vegas</w:t>
          </w:r>
        </w:smartTag>
      </w:smartTag>
      <w:r>
        <w:rPr>
          <w:sz w:val="24"/>
          <w:szCs w:val="24"/>
        </w:rPr>
        <w:t xml:space="preserve"> Catchment area.  Although the number of designations is small, the catchment areas are large because services are delivered across hundreds of miles utilizing telehealth.  In addition to high population-to-provider ratios and long distances, </w:t>
      </w:r>
      <w:smartTag w:uri="urn:schemas-microsoft-com:office:smarttags" w:element="place">
        <w:smartTag w:uri="urn:schemas-microsoft-com:office:smarttags" w:element="State">
          <w:r>
            <w:rPr>
              <w:sz w:val="24"/>
              <w:szCs w:val="24"/>
            </w:rPr>
            <w:t>Nevada</w:t>
          </w:r>
        </w:smartTag>
      </w:smartTag>
      <w:r>
        <w:rPr>
          <w:sz w:val="24"/>
          <w:szCs w:val="24"/>
        </w:rPr>
        <w:t xml:space="preserve"> also has higher rates for elderly populations, substance abuse and alcohol abuse, increasing the need for behavioral health services and providers.</w:t>
      </w:r>
    </w:p>
    <w:p w:rsidR="00AE0BAC" w:rsidRDefault="00AE0BAC" w:rsidP="00CE71B4">
      <w:pPr>
        <w:rPr>
          <w:sz w:val="24"/>
          <w:szCs w:val="24"/>
        </w:rPr>
      </w:pPr>
      <w:r>
        <w:rPr>
          <w:sz w:val="24"/>
          <w:szCs w:val="24"/>
        </w:rPr>
        <w:lastRenderedPageBreak/>
        <w:t xml:space="preserve">Collectively, these designations play a critical role in helping support health care access throughout </w:t>
      </w:r>
      <w:smartTag w:uri="urn:schemas-microsoft-com:office:smarttags" w:element="State">
        <w:smartTag w:uri="urn:schemas-microsoft-com:office:smarttags" w:element="place">
          <w:r>
            <w:rPr>
              <w:sz w:val="24"/>
              <w:szCs w:val="24"/>
            </w:rPr>
            <w:t>Nevada</w:t>
          </w:r>
        </w:smartTag>
      </w:smartTag>
      <w:r>
        <w:rPr>
          <w:sz w:val="24"/>
          <w:szCs w:val="24"/>
        </w:rPr>
        <w:t xml:space="preserve">, by leveraging federal resources for loan repayment, scholarship, Physician Visa waiver, and Medicare bonus programs.  While we have increased our participation rates in these programs in recent years, </w:t>
      </w:r>
      <w:smartTag w:uri="urn:schemas-microsoft-com:office:smarttags" w:element="State">
        <w:smartTag w:uri="urn:schemas-microsoft-com:office:smarttags" w:element="place">
          <w:r>
            <w:rPr>
              <w:sz w:val="24"/>
              <w:szCs w:val="24"/>
            </w:rPr>
            <w:t>Nevada</w:t>
          </w:r>
        </w:smartTag>
      </w:smartTag>
      <w:r>
        <w:rPr>
          <w:sz w:val="24"/>
          <w:szCs w:val="24"/>
        </w:rPr>
        <w:t xml:space="preserve"> has a long way to go to reach comparable levels with some of our neighboring states.  In addition to providing more outreach to potential program participants, we are also taking a hard look at all of the factors internal to </w:t>
      </w:r>
      <w:smartTag w:uri="urn:schemas-microsoft-com:office:smarttags" w:element="State">
        <w:smartTag w:uri="urn:schemas-microsoft-com:office:smarttags" w:element="place">
          <w:r>
            <w:rPr>
              <w:sz w:val="24"/>
              <w:szCs w:val="24"/>
            </w:rPr>
            <w:t>Nevada</w:t>
          </w:r>
        </w:smartTag>
      </w:smartTag>
      <w:r>
        <w:rPr>
          <w:sz w:val="24"/>
          <w:szCs w:val="24"/>
        </w:rPr>
        <w:t xml:space="preserve"> that impact health professional workforce development.</w:t>
      </w:r>
    </w:p>
    <w:p w:rsidR="0074428D" w:rsidRDefault="0074428D" w:rsidP="00015B63">
      <w:pPr>
        <w:spacing w:after="0" w:line="240" w:lineRule="auto"/>
        <w:rPr>
          <w:sz w:val="24"/>
          <w:szCs w:val="24"/>
        </w:rPr>
      </w:pPr>
    </w:p>
    <w:p w:rsidR="00AE0BAC" w:rsidRPr="006D357C" w:rsidRDefault="00AE0BAC" w:rsidP="00015B63">
      <w:pPr>
        <w:spacing w:after="0" w:line="240" w:lineRule="auto"/>
        <w:rPr>
          <w:sz w:val="24"/>
          <w:szCs w:val="24"/>
        </w:rPr>
      </w:pPr>
    </w:p>
    <w:p w:rsidR="0074428D" w:rsidRPr="00874D61" w:rsidRDefault="0074428D" w:rsidP="00161CF7">
      <w:pPr>
        <w:spacing w:after="0" w:line="240" w:lineRule="auto"/>
        <w:rPr>
          <w:b/>
          <w:sz w:val="24"/>
          <w:szCs w:val="24"/>
        </w:rPr>
      </w:pPr>
      <w:r w:rsidRPr="00874D61">
        <w:rPr>
          <w:b/>
          <w:sz w:val="24"/>
          <w:szCs w:val="24"/>
        </w:rPr>
        <w:t xml:space="preserve">PRIMARY </w:t>
      </w:r>
      <w:smartTag w:uri="urn:schemas-microsoft-com:office:smarttags" w:element="stockticker">
        <w:r w:rsidRPr="00874D61">
          <w:rPr>
            <w:b/>
            <w:sz w:val="24"/>
            <w:szCs w:val="24"/>
          </w:rPr>
          <w:t>CARE</w:t>
        </w:r>
      </w:smartTag>
      <w:r w:rsidRPr="00874D61">
        <w:rPr>
          <w:b/>
          <w:sz w:val="24"/>
          <w:szCs w:val="24"/>
        </w:rPr>
        <w:t xml:space="preserve"> WORKFORCE DEVELOPMENT RECOMMENDATIONS and INITIATIVES</w:t>
      </w:r>
    </w:p>
    <w:p w:rsidR="0074428D" w:rsidRDefault="0074428D" w:rsidP="00161CF7">
      <w:pPr>
        <w:spacing w:after="0" w:line="240" w:lineRule="auto"/>
        <w:rPr>
          <w:sz w:val="24"/>
          <w:szCs w:val="24"/>
        </w:rPr>
      </w:pPr>
    </w:p>
    <w:p w:rsidR="0074428D" w:rsidRDefault="0074428D">
      <w:pPr>
        <w:rPr>
          <w:sz w:val="24"/>
          <w:szCs w:val="24"/>
        </w:rPr>
      </w:pPr>
      <w:r>
        <w:rPr>
          <w:sz w:val="24"/>
          <w:szCs w:val="24"/>
        </w:rPr>
        <w:t xml:space="preserve">In 2013, the Nevada Division of Mental Health and Developmental Services was restructured; Developmental Services merged with Aging and Disability Services, and Mental Health merged with Public Health to form what is now the Division of Public and Behavioral Health (DPBH).  The PCO Manager was appointed to coordinate a </w:t>
      </w:r>
      <w:r>
        <w:rPr>
          <w:i/>
          <w:sz w:val="24"/>
          <w:szCs w:val="24"/>
        </w:rPr>
        <w:t>Behavioral Health Professional Pipeline Mapping Project</w:t>
      </w:r>
      <w:r>
        <w:rPr>
          <w:sz w:val="24"/>
          <w:szCs w:val="24"/>
        </w:rPr>
        <w:t xml:space="preserve"> in 2014, to review requirements for </w:t>
      </w:r>
      <w:r w:rsidRPr="00B4416D">
        <w:rPr>
          <w:sz w:val="24"/>
          <w:szCs w:val="24"/>
          <w:u w:val="single"/>
        </w:rPr>
        <w:t>education and training, licensure and certification, scopes of practice, Medicaid and Medicare reimbursement, State Personnel Classification, and eligibility for loan repayment and scholarship programs</w:t>
      </w:r>
      <w:r>
        <w:rPr>
          <w:sz w:val="24"/>
          <w:szCs w:val="24"/>
        </w:rPr>
        <w:t>.</w:t>
      </w:r>
    </w:p>
    <w:p w:rsidR="0074428D" w:rsidRDefault="0074428D" w:rsidP="0097493E">
      <w:pPr>
        <w:spacing w:after="0" w:line="240" w:lineRule="auto"/>
        <w:rPr>
          <w:sz w:val="24"/>
          <w:szCs w:val="24"/>
        </w:rPr>
      </w:pPr>
      <w:r>
        <w:rPr>
          <w:sz w:val="24"/>
          <w:szCs w:val="24"/>
        </w:rPr>
        <w:t xml:space="preserve">This project engaged over 50 partners including representatives from the Nevada System of Higher Education, behavioral health state licensing boards, behavioral health professional associations, and multiple health care professionals employed by DPBH.  Individual focus groups were created for each licensed behavioral health profession: Psychiatry, Psychology, Advanced Practice Registered Nurses, Psychiatric Nurses, Licensed Clinical Social Workers, Marriage and Family Therapists/Clinical Professional Counselors, and Licensed Alcohol and Drug Counselors.  Discussions were facilitated for each group over a two-month period, resulting in dozens of recommendations for improvements to expand the “pipeline” for behavioral health professionals. </w:t>
      </w:r>
    </w:p>
    <w:p w:rsidR="0074428D" w:rsidRDefault="0074428D" w:rsidP="0097493E">
      <w:pPr>
        <w:spacing w:after="0" w:line="240" w:lineRule="auto"/>
        <w:rPr>
          <w:sz w:val="24"/>
          <w:szCs w:val="24"/>
        </w:rPr>
      </w:pPr>
    </w:p>
    <w:p w:rsidR="0074428D" w:rsidRDefault="0074428D" w:rsidP="0097493E">
      <w:pPr>
        <w:spacing w:after="0" w:line="240" w:lineRule="auto"/>
        <w:rPr>
          <w:sz w:val="24"/>
          <w:szCs w:val="24"/>
        </w:rPr>
      </w:pPr>
    </w:p>
    <w:p w:rsidR="0074428D" w:rsidRPr="0097493E" w:rsidRDefault="0074428D">
      <w:pPr>
        <w:rPr>
          <w:sz w:val="24"/>
          <w:szCs w:val="24"/>
          <w:u w:val="single"/>
        </w:rPr>
      </w:pPr>
      <w:r w:rsidRPr="0097493E">
        <w:rPr>
          <w:sz w:val="24"/>
          <w:szCs w:val="24"/>
          <w:u w:val="single"/>
        </w:rPr>
        <w:t>Education and Training</w:t>
      </w:r>
    </w:p>
    <w:p w:rsidR="0074428D" w:rsidRDefault="0074428D">
      <w:pPr>
        <w:rPr>
          <w:sz w:val="24"/>
          <w:szCs w:val="24"/>
        </w:rPr>
      </w:pPr>
      <w:smartTag w:uri="urn:schemas-microsoft-com:office:smarttags" w:element="place">
        <w:smartTag w:uri="urn:schemas-microsoft-com:office:smarttags" w:element="State">
          <w:r>
            <w:rPr>
              <w:sz w:val="24"/>
              <w:szCs w:val="24"/>
            </w:rPr>
            <w:t>Nevada</w:t>
          </w:r>
        </w:smartTag>
      </w:smartTag>
      <w:r>
        <w:rPr>
          <w:sz w:val="24"/>
          <w:szCs w:val="24"/>
        </w:rPr>
        <w:t xml:space="preserve"> did not have sufficient training programs for psychiatric nurse practitioners in 2014, and many nurses working in behavioral clinical services for DPBH were not able to support medication management.  As part of the pipeline project, DPBH collaborated with the Nevada Western Interstate Commission for Higher Education </w:t>
      </w:r>
      <w:r w:rsidR="00DA1648">
        <w:rPr>
          <w:sz w:val="24"/>
          <w:szCs w:val="24"/>
        </w:rPr>
        <w:t xml:space="preserve">(WICHE) </w:t>
      </w:r>
      <w:r>
        <w:rPr>
          <w:sz w:val="24"/>
          <w:szCs w:val="24"/>
        </w:rPr>
        <w:t>to provide financial support for nurses to enroll in a new psychiatric nurse practitioner program developed at the Orvis School of Nursing,</w:t>
      </w:r>
      <w:r w:rsidRPr="00CD31DE">
        <w:rPr>
          <w:sz w:val="24"/>
          <w:szCs w:val="24"/>
        </w:rPr>
        <w:t xml:space="preserve"> </w:t>
      </w:r>
      <w:r>
        <w:rPr>
          <w:sz w:val="24"/>
          <w:szCs w:val="24"/>
        </w:rPr>
        <w:t>University of Nevada, Reno.</w:t>
      </w:r>
    </w:p>
    <w:p w:rsidR="0074428D" w:rsidRDefault="0074428D">
      <w:pPr>
        <w:rPr>
          <w:sz w:val="24"/>
          <w:szCs w:val="24"/>
        </w:rPr>
      </w:pPr>
      <w:r>
        <w:rPr>
          <w:sz w:val="24"/>
          <w:szCs w:val="24"/>
        </w:rPr>
        <w:lastRenderedPageBreak/>
        <w:t>We also partnered with regional WICHE to develop an accredited intern program for Psychologists, with state WICHE funding support for stipends.  Four Psychology Interns were accepted into the program in the first year; 50 applications were received for the second year and the interview process is currently underway.  The DPBH will be requesting support for six interns per year, for the next biennium, through the 2017 session of the Nevada State Legislature, and hopes to sustain this program in subsequent years. We are in preliminary discussions with Nevada WICHE to use this model to pilot internship and training programs for other health professions, as well.</w:t>
      </w:r>
    </w:p>
    <w:p w:rsidR="0074428D" w:rsidRDefault="0074428D">
      <w:pPr>
        <w:rPr>
          <w:sz w:val="24"/>
          <w:szCs w:val="24"/>
        </w:rPr>
      </w:pPr>
      <w:r>
        <w:rPr>
          <w:sz w:val="24"/>
          <w:szCs w:val="24"/>
        </w:rPr>
        <w:t>Other recommendations for Education and Training include the following:</w:t>
      </w:r>
    </w:p>
    <w:p w:rsidR="0074428D" w:rsidRDefault="0074428D" w:rsidP="003507B2">
      <w:pPr>
        <w:pStyle w:val="ListParagraph"/>
        <w:numPr>
          <w:ilvl w:val="0"/>
          <w:numId w:val="5"/>
        </w:numPr>
        <w:rPr>
          <w:sz w:val="24"/>
          <w:szCs w:val="24"/>
        </w:rPr>
      </w:pPr>
      <w:r>
        <w:rPr>
          <w:sz w:val="24"/>
          <w:szCs w:val="24"/>
        </w:rPr>
        <w:t>Develop a certification program in integrated behavioral health, including substance abuse disorders;</w:t>
      </w:r>
    </w:p>
    <w:p w:rsidR="0074428D" w:rsidRDefault="0074428D" w:rsidP="003507B2">
      <w:pPr>
        <w:pStyle w:val="ListParagraph"/>
        <w:numPr>
          <w:ilvl w:val="0"/>
          <w:numId w:val="5"/>
        </w:numPr>
        <w:rPr>
          <w:sz w:val="24"/>
          <w:szCs w:val="24"/>
        </w:rPr>
      </w:pPr>
      <w:r>
        <w:rPr>
          <w:sz w:val="24"/>
          <w:szCs w:val="24"/>
        </w:rPr>
        <w:t>Develop blended clinical supervision roles to share responsibilities between employers and educational institutions;</w:t>
      </w:r>
    </w:p>
    <w:p w:rsidR="0074428D" w:rsidRDefault="0074428D" w:rsidP="003507B2">
      <w:pPr>
        <w:pStyle w:val="ListParagraph"/>
        <w:numPr>
          <w:ilvl w:val="0"/>
          <w:numId w:val="5"/>
        </w:numPr>
        <w:rPr>
          <w:sz w:val="24"/>
          <w:szCs w:val="24"/>
        </w:rPr>
      </w:pPr>
      <w:r>
        <w:rPr>
          <w:sz w:val="24"/>
          <w:szCs w:val="24"/>
        </w:rPr>
        <w:t>Include training for billing Medicare, Medicaid and private insurance in health professional curriculum;</w:t>
      </w:r>
    </w:p>
    <w:p w:rsidR="0074428D" w:rsidRDefault="0074428D" w:rsidP="003507B2">
      <w:pPr>
        <w:pStyle w:val="ListParagraph"/>
        <w:numPr>
          <w:ilvl w:val="0"/>
          <w:numId w:val="5"/>
        </w:numPr>
        <w:rPr>
          <w:sz w:val="24"/>
          <w:szCs w:val="24"/>
        </w:rPr>
      </w:pPr>
      <w:r>
        <w:rPr>
          <w:sz w:val="24"/>
          <w:szCs w:val="24"/>
        </w:rPr>
        <w:t>Develop reimbursement model to support faculty with clinical revenue;</w:t>
      </w:r>
    </w:p>
    <w:p w:rsidR="0074428D" w:rsidRDefault="0074428D" w:rsidP="003507B2">
      <w:pPr>
        <w:pStyle w:val="ListParagraph"/>
        <w:numPr>
          <w:ilvl w:val="0"/>
          <w:numId w:val="5"/>
        </w:numPr>
        <w:rPr>
          <w:sz w:val="24"/>
          <w:szCs w:val="24"/>
        </w:rPr>
      </w:pPr>
      <w:r>
        <w:rPr>
          <w:sz w:val="24"/>
          <w:szCs w:val="24"/>
        </w:rPr>
        <w:t>Create more graduate medical education (GME) slots for psychiatry students; and</w:t>
      </w:r>
    </w:p>
    <w:p w:rsidR="0074428D" w:rsidRDefault="0074428D" w:rsidP="003507B2">
      <w:pPr>
        <w:pStyle w:val="ListParagraph"/>
        <w:numPr>
          <w:ilvl w:val="0"/>
          <w:numId w:val="5"/>
        </w:numPr>
        <w:rPr>
          <w:sz w:val="24"/>
          <w:szCs w:val="24"/>
        </w:rPr>
      </w:pPr>
      <w:r>
        <w:rPr>
          <w:sz w:val="24"/>
          <w:szCs w:val="24"/>
        </w:rPr>
        <w:t>Create more graduate assistant slots for 1st and 2</w:t>
      </w:r>
      <w:r w:rsidRPr="003507B2">
        <w:rPr>
          <w:sz w:val="24"/>
          <w:szCs w:val="24"/>
          <w:vertAlign w:val="superscript"/>
        </w:rPr>
        <w:t>nd</w:t>
      </w:r>
      <w:r>
        <w:rPr>
          <w:sz w:val="24"/>
          <w:szCs w:val="24"/>
        </w:rPr>
        <w:t xml:space="preserve"> year doctoral psychology students.</w:t>
      </w:r>
    </w:p>
    <w:p w:rsidR="0074428D" w:rsidRDefault="0074428D" w:rsidP="004F58CD">
      <w:pPr>
        <w:rPr>
          <w:sz w:val="24"/>
          <w:szCs w:val="24"/>
        </w:rPr>
      </w:pPr>
      <w:r>
        <w:rPr>
          <w:sz w:val="24"/>
          <w:szCs w:val="24"/>
        </w:rPr>
        <w:t>Because GME slots have been a concern for many stakeholders across our state, the Governor’s Office created a GME Task Force in 2014 and recommended $10 million in state funding, which was approved by the 2015 Legislature.   A Request for Applications was published in February 2016 to support GME slots at public and/or private institutions supporting residency programs for primary and behavioral health doctors of medicine, osteopathy and psychiatry.</w:t>
      </w:r>
    </w:p>
    <w:p w:rsidR="0074428D" w:rsidRDefault="0074428D" w:rsidP="004F58CD">
      <w:pPr>
        <w:rPr>
          <w:sz w:val="24"/>
          <w:szCs w:val="24"/>
        </w:rPr>
      </w:pPr>
      <w:r>
        <w:rPr>
          <w:sz w:val="24"/>
          <w:szCs w:val="24"/>
        </w:rPr>
        <w:t>Some work has begun with training on Medicaid reimbursement, with partners advocating for other recommendations as resources allow.</w:t>
      </w:r>
    </w:p>
    <w:p w:rsidR="0074428D" w:rsidRDefault="0074428D" w:rsidP="004F58CD">
      <w:pPr>
        <w:rPr>
          <w:sz w:val="24"/>
          <w:szCs w:val="24"/>
        </w:rPr>
      </w:pPr>
      <w:r>
        <w:rPr>
          <w:sz w:val="24"/>
          <w:szCs w:val="24"/>
          <w:u w:val="single"/>
        </w:rPr>
        <w:t>Licensure and Certification</w:t>
      </w:r>
    </w:p>
    <w:p w:rsidR="0074428D" w:rsidRDefault="0074428D" w:rsidP="004F58CD">
      <w:pPr>
        <w:rPr>
          <w:sz w:val="24"/>
          <w:szCs w:val="24"/>
        </w:rPr>
      </w:pPr>
      <w:r>
        <w:rPr>
          <w:sz w:val="24"/>
          <w:szCs w:val="24"/>
        </w:rPr>
        <w:t>Recommendations for licensure and certification include the following:</w:t>
      </w:r>
    </w:p>
    <w:p w:rsidR="0074428D" w:rsidRDefault="0074428D" w:rsidP="00DE5501">
      <w:pPr>
        <w:pStyle w:val="ListParagraph"/>
        <w:numPr>
          <w:ilvl w:val="0"/>
          <w:numId w:val="6"/>
        </w:numPr>
        <w:rPr>
          <w:sz w:val="24"/>
          <w:szCs w:val="24"/>
        </w:rPr>
      </w:pPr>
      <w:r>
        <w:rPr>
          <w:sz w:val="24"/>
          <w:szCs w:val="24"/>
        </w:rPr>
        <w:t>Establish online FAQs and provide outreach to training programs;</w:t>
      </w:r>
    </w:p>
    <w:p w:rsidR="0074428D" w:rsidRDefault="0074428D" w:rsidP="00DE5501">
      <w:pPr>
        <w:pStyle w:val="ListParagraph"/>
        <w:numPr>
          <w:ilvl w:val="0"/>
          <w:numId w:val="6"/>
        </w:numPr>
        <w:rPr>
          <w:sz w:val="24"/>
          <w:szCs w:val="24"/>
        </w:rPr>
      </w:pPr>
      <w:r>
        <w:rPr>
          <w:sz w:val="24"/>
          <w:szCs w:val="24"/>
        </w:rPr>
        <w:t>Develop transparent process for employers to collaborate on validation of core competencies and clinical expertise;</w:t>
      </w:r>
    </w:p>
    <w:p w:rsidR="0074428D" w:rsidRDefault="0074428D" w:rsidP="00DE5501">
      <w:pPr>
        <w:pStyle w:val="ListParagraph"/>
        <w:numPr>
          <w:ilvl w:val="0"/>
          <w:numId w:val="6"/>
        </w:numPr>
        <w:rPr>
          <w:sz w:val="24"/>
          <w:szCs w:val="24"/>
        </w:rPr>
      </w:pPr>
      <w:r>
        <w:rPr>
          <w:sz w:val="24"/>
          <w:szCs w:val="24"/>
        </w:rPr>
        <w:t>Expand scope of telehealth for both practice and supervision;</w:t>
      </w:r>
    </w:p>
    <w:p w:rsidR="0074428D" w:rsidRDefault="0074428D" w:rsidP="00DE5501">
      <w:pPr>
        <w:pStyle w:val="ListParagraph"/>
        <w:numPr>
          <w:ilvl w:val="0"/>
          <w:numId w:val="6"/>
        </w:numPr>
        <w:rPr>
          <w:sz w:val="24"/>
          <w:szCs w:val="24"/>
        </w:rPr>
      </w:pPr>
      <w:r>
        <w:rPr>
          <w:sz w:val="24"/>
          <w:szCs w:val="24"/>
        </w:rPr>
        <w:t xml:space="preserve">Collect minimum data set across all professions; </w:t>
      </w:r>
    </w:p>
    <w:p w:rsidR="0074428D" w:rsidRDefault="0074428D" w:rsidP="00DE5501">
      <w:pPr>
        <w:pStyle w:val="ListParagraph"/>
        <w:numPr>
          <w:ilvl w:val="0"/>
          <w:numId w:val="6"/>
        </w:numPr>
        <w:rPr>
          <w:sz w:val="24"/>
          <w:szCs w:val="24"/>
        </w:rPr>
      </w:pPr>
      <w:r>
        <w:rPr>
          <w:sz w:val="24"/>
          <w:szCs w:val="24"/>
        </w:rPr>
        <w:lastRenderedPageBreak/>
        <w:t>Engage national-level professional boards to develop standards consistent with best practices and contemporary research to advance state-level boards to adopt national standards; and</w:t>
      </w:r>
    </w:p>
    <w:p w:rsidR="0074428D" w:rsidRDefault="0074428D" w:rsidP="00DE5501">
      <w:pPr>
        <w:pStyle w:val="ListParagraph"/>
        <w:numPr>
          <w:ilvl w:val="0"/>
          <w:numId w:val="6"/>
        </w:numPr>
        <w:rPr>
          <w:sz w:val="24"/>
          <w:szCs w:val="24"/>
        </w:rPr>
      </w:pPr>
      <w:r>
        <w:rPr>
          <w:sz w:val="24"/>
          <w:szCs w:val="24"/>
        </w:rPr>
        <w:t>Consider cross-board collaborative to support online data collection.</w:t>
      </w:r>
    </w:p>
    <w:p w:rsidR="0074428D" w:rsidRDefault="0074428D" w:rsidP="00DE5501">
      <w:pPr>
        <w:pStyle w:val="ListParagraph"/>
        <w:rPr>
          <w:sz w:val="24"/>
          <w:szCs w:val="24"/>
        </w:rPr>
      </w:pPr>
    </w:p>
    <w:p w:rsidR="0074428D" w:rsidRDefault="0074428D" w:rsidP="00DE5501">
      <w:pPr>
        <w:pStyle w:val="ListParagraph"/>
        <w:ind w:left="0"/>
        <w:rPr>
          <w:sz w:val="24"/>
          <w:szCs w:val="24"/>
        </w:rPr>
      </w:pPr>
      <w:r>
        <w:rPr>
          <w:sz w:val="24"/>
          <w:szCs w:val="24"/>
        </w:rPr>
        <w:t>A survey of Nevada professional licensing boards in February 2016 found that while all the boards have websites, only about half have FAQs, with a few under construction.  Although some boards have online applications for certain types of licenses, a majority of processes are still manual.  Consequently, there is limited data collection, less transparency, less standardization and longer processing times. Moving the licensing boards toward online systems will require financial resources and political pressure, through the legislative process.</w:t>
      </w:r>
    </w:p>
    <w:p w:rsidR="0074428D" w:rsidRDefault="0074428D" w:rsidP="00DE5501">
      <w:pPr>
        <w:pStyle w:val="ListParagraph"/>
        <w:ind w:left="0"/>
        <w:rPr>
          <w:sz w:val="24"/>
          <w:szCs w:val="24"/>
        </w:rPr>
      </w:pPr>
    </w:p>
    <w:p w:rsidR="0074428D" w:rsidRDefault="0074428D" w:rsidP="00DE5501">
      <w:pPr>
        <w:pStyle w:val="ListParagraph"/>
        <w:ind w:left="0"/>
        <w:rPr>
          <w:sz w:val="24"/>
          <w:szCs w:val="24"/>
        </w:rPr>
      </w:pPr>
      <w:r>
        <w:rPr>
          <w:sz w:val="24"/>
          <w:szCs w:val="24"/>
        </w:rPr>
        <w:t>Significant progress was made through the 2015 Legislative session, including:</w:t>
      </w:r>
    </w:p>
    <w:p w:rsidR="0074428D" w:rsidRDefault="0074428D" w:rsidP="00DE5501">
      <w:pPr>
        <w:pStyle w:val="ListParagraph"/>
        <w:ind w:left="0"/>
        <w:rPr>
          <w:sz w:val="24"/>
          <w:szCs w:val="24"/>
        </w:rPr>
      </w:pPr>
    </w:p>
    <w:p w:rsidR="0074428D" w:rsidRDefault="0074428D" w:rsidP="00583AEF">
      <w:pPr>
        <w:pStyle w:val="ListParagraph"/>
        <w:numPr>
          <w:ilvl w:val="0"/>
          <w:numId w:val="7"/>
        </w:numPr>
        <w:rPr>
          <w:sz w:val="24"/>
          <w:szCs w:val="24"/>
        </w:rPr>
      </w:pPr>
      <w:r>
        <w:rPr>
          <w:sz w:val="24"/>
          <w:szCs w:val="24"/>
        </w:rPr>
        <w:t>telehealth reimbursement parity for Medicaid and other third-party payers;</w:t>
      </w:r>
    </w:p>
    <w:p w:rsidR="0074428D" w:rsidRDefault="0074428D" w:rsidP="00583AEF">
      <w:pPr>
        <w:pStyle w:val="ListParagraph"/>
        <w:numPr>
          <w:ilvl w:val="0"/>
          <w:numId w:val="7"/>
        </w:numPr>
        <w:rPr>
          <w:sz w:val="24"/>
          <w:szCs w:val="24"/>
        </w:rPr>
      </w:pPr>
      <w:r>
        <w:rPr>
          <w:sz w:val="24"/>
          <w:szCs w:val="24"/>
        </w:rPr>
        <w:t>the interstate compact was ratified to provide for reciprocal licensure of physicians (MD or DO) in all other member states of the compact; and</w:t>
      </w:r>
    </w:p>
    <w:p w:rsidR="0074428D" w:rsidRDefault="0074428D" w:rsidP="00583AEF">
      <w:pPr>
        <w:pStyle w:val="ListParagraph"/>
        <w:numPr>
          <w:ilvl w:val="0"/>
          <w:numId w:val="7"/>
        </w:numPr>
        <w:rPr>
          <w:sz w:val="24"/>
          <w:szCs w:val="24"/>
        </w:rPr>
      </w:pPr>
      <w:r>
        <w:rPr>
          <w:sz w:val="24"/>
          <w:szCs w:val="24"/>
        </w:rPr>
        <w:t>new requirements are in place for expedited license by endorsement for all health professional boards.</w:t>
      </w:r>
    </w:p>
    <w:p w:rsidR="0074428D" w:rsidRDefault="0074428D" w:rsidP="00051B75">
      <w:pPr>
        <w:rPr>
          <w:sz w:val="24"/>
          <w:szCs w:val="24"/>
        </w:rPr>
      </w:pPr>
      <w:r>
        <w:rPr>
          <w:sz w:val="24"/>
          <w:szCs w:val="24"/>
        </w:rPr>
        <w:t>We hope to build on this progress for the next Legislative session in 2017, through existing partnerships and successful strategies from the last session.</w:t>
      </w:r>
    </w:p>
    <w:p w:rsidR="0074428D" w:rsidRPr="00051B75" w:rsidRDefault="0074428D" w:rsidP="00051B75">
      <w:pPr>
        <w:rPr>
          <w:sz w:val="24"/>
          <w:szCs w:val="24"/>
        </w:rPr>
      </w:pPr>
    </w:p>
    <w:p w:rsidR="0074428D" w:rsidRPr="00F81D87" w:rsidRDefault="0074428D" w:rsidP="00F81D87">
      <w:pPr>
        <w:rPr>
          <w:sz w:val="24"/>
          <w:szCs w:val="24"/>
          <w:u w:val="single"/>
        </w:rPr>
      </w:pPr>
      <w:r w:rsidRPr="00F81D87">
        <w:rPr>
          <w:sz w:val="24"/>
          <w:szCs w:val="24"/>
          <w:u w:val="single"/>
        </w:rPr>
        <w:t>Scope of Practice</w:t>
      </w:r>
    </w:p>
    <w:p w:rsidR="0074428D" w:rsidRDefault="0074428D" w:rsidP="00F81D87">
      <w:pPr>
        <w:rPr>
          <w:sz w:val="24"/>
          <w:szCs w:val="24"/>
        </w:rPr>
      </w:pPr>
      <w:r>
        <w:rPr>
          <w:sz w:val="24"/>
          <w:szCs w:val="24"/>
        </w:rPr>
        <w:t>Scope of Practice links closely to licensure requirements, but is a distinct area of focus because professional associations can be strong advocates, tapping their membership for trends and best practices as they evolve through actual experience.  Recommendations for Scope of Practice include the following:</w:t>
      </w:r>
    </w:p>
    <w:p w:rsidR="0074428D" w:rsidRDefault="0074428D" w:rsidP="00F81D87">
      <w:pPr>
        <w:pStyle w:val="ListParagraph"/>
        <w:numPr>
          <w:ilvl w:val="0"/>
          <w:numId w:val="8"/>
        </w:numPr>
        <w:rPr>
          <w:sz w:val="24"/>
          <w:szCs w:val="24"/>
        </w:rPr>
      </w:pPr>
      <w:r>
        <w:rPr>
          <w:sz w:val="24"/>
          <w:szCs w:val="24"/>
        </w:rPr>
        <w:t>Conduct survey on supervision practices, including training and adherence to evidence-based practices;</w:t>
      </w:r>
    </w:p>
    <w:p w:rsidR="0074428D" w:rsidRDefault="0074428D" w:rsidP="00F81D87">
      <w:pPr>
        <w:pStyle w:val="ListParagraph"/>
        <w:numPr>
          <w:ilvl w:val="0"/>
          <w:numId w:val="8"/>
        </w:numPr>
        <w:rPr>
          <w:sz w:val="24"/>
          <w:szCs w:val="24"/>
        </w:rPr>
      </w:pPr>
      <w:r>
        <w:rPr>
          <w:sz w:val="24"/>
          <w:szCs w:val="24"/>
        </w:rPr>
        <w:t>Clarify ability to consult on psychotropic medications;</w:t>
      </w:r>
    </w:p>
    <w:p w:rsidR="0074428D" w:rsidRDefault="0074428D" w:rsidP="00F81D87">
      <w:pPr>
        <w:pStyle w:val="ListParagraph"/>
        <w:numPr>
          <w:ilvl w:val="0"/>
          <w:numId w:val="8"/>
        </w:numPr>
        <w:rPr>
          <w:sz w:val="24"/>
          <w:szCs w:val="24"/>
        </w:rPr>
      </w:pPr>
      <w:r>
        <w:rPr>
          <w:sz w:val="24"/>
          <w:szCs w:val="24"/>
        </w:rPr>
        <w:t>Require completion of minor in addictions for A</w:t>
      </w:r>
      <w:r w:rsidR="00DA1648">
        <w:rPr>
          <w:sz w:val="24"/>
          <w:szCs w:val="24"/>
        </w:rPr>
        <w:t xml:space="preserve">lcohol and </w:t>
      </w:r>
      <w:r>
        <w:rPr>
          <w:sz w:val="24"/>
          <w:szCs w:val="24"/>
        </w:rPr>
        <w:t>O</w:t>
      </w:r>
      <w:r w:rsidR="00DA1648">
        <w:rPr>
          <w:sz w:val="24"/>
          <w:szCs w:val="24"/>
        </w:rPr>
        <w:t xml:space="preserve">ther </w:t>
      </w:r>
      <w:r>
        <w:rPr>
          <w:sz w:val="24"/>
          <w:szCs w:val="24"/>
        </w:rPr>
        <w:t>D</w:t>
      </w:r>
      <w:r w:rsidR="00DA1648">
        <w:rPr>
          <w:sz w:val="24"/>
          <w:szCs w:val="24"/>
        </w:rPr>
        <w:t>rugs</w:t>
      </w:r>
      <w:r>
        <w:rPr>
          <w:sz w:val="24"/>
          <w:szCs w:val="24"/>
        </w:rPr>
        <w:t xml:space="preserve"> Counselor interns.</w:t>
      </w:r>
    </w:p>
    <w:p w:rsidR="0074428D" w:rsidRDefault="0074428D" w:rsidP="00506465">
      <w:pPr>
        <w:rPr>
          <w:sz w:val="24"/>
          <w:szCs w:val="24"/>
        </w:rPr>
      </w:pPr>
      <w:r>
        <w:rPr>
          <w:sz w:val="24"/>
          <w:szCs w:val="24"/>
        </w:rPr>
        <w:t xml:space="preserve">These are examples of specific issues that came up in focus group discussions, within professional classifications.  Further research and mapping, including other states’ practices, are needed to help develop clearer and better standards.  As best practices are established for patient medical homes and team-based care, scopes of practice </w:t>
      </w:r>
      <w:r>
        <w:rPr>
          <w:sz w:val="24"/>
          <w:szCs w:val="24"/>
        </w:rPr>
        <w:lastRenderedPageBreak/>
        <w:t>should be reviewed and updated to include new classifications such as peer support workers, community health workers and paramedicine.  Nevada DHHS is working to develop all of these classifications, with legislation passed in 2015 to support the regulatory process.</w:t>
      </w:r>
    </w:p>
    <w:p w:rsidR="0074428D" w:rsidRDefault="0074428D" w:rsidP="00506465">
      <w:pPr>
        <w:rPr>
          <w:sz w:val="24"/>
          <w:szCs w:val="24"/>
          <w:u w:val="single"/>
        </w:rPr>
      </w:pPr>
    </w:p>
    <w:p w:rsidR="0074428D" w:rsidRDefault="0074428D" w:rsidP="00506465">
      <w:pPr>
        <w:rPr>
          <w:sz w:val="24"/>
          <w:szCs w:val="24"/>
          <w:u w:val="single"/>
        </w:rPr>
      </w:pPr>
      <w:r>
        <w:rPr>
          <w:sz w:val="24"/>
          <w:szCs w:val="24"/>
          <w:u w:val="single"/>
        </w:rPr>
        <w:t>Medicaid and Medicare Reimbursement</w:t>
      </w:r>
    </w:p>
    <w:p w:rsidR="0074428D" w:rsidRDefault="0074428D" w:rsidP="00506465">
      <w:pPr>
        <w:rPr>
          <w:sz w:val="24"/>
          <w:szCs w:val="24"/>
        </w:rPr>
      </w:pPr>
      <w:r>
        <w:rPr>
          <w:sz w:val="24"/>
          <w:szCs w:val="24"/>
        </w:rPr>
        <w:t xml:space="preserve">Because the Division of Health Care Financing and Policy (DHCFP) is a sister agency to DPBH, significant progress has been made on many of the recommendations for Medicaid, through amendments to the state plan, including the following:  </w:t>
      </w:r>
    </w:p>
    <w:p w:rsidR="0074428D" w:rsidRDefault="0074428D" w:rsidP="0090505B">
      <w:pPr>
        <w:pStyle w:val="ListParagraph"/>
        <w:numPr>
          <w:ilvl w:val="0"/>
          <w:numId w:val="9"/>
        </w:numPr>
        <w:rPr>
          <w:sz w:val="24"/>
          <w:szCs w:val="24"/>
        </w:rPr>
      </w:pPr>
      <w:r>
        <w:rPr>
          <w:sz w:val="24"/>
          <w:szCs w:val="24"/>
        </w:rPr>
        <w:t xml:space="preserve">Rates for acute hospital inpatient psychiatric services were increased; </w:t>
      </w:r>
    </w:p>
    <w:p w:rsidR="0074428D" w:rsidRDefault="0074428D" w:rsidP="0090505B">
      <w:pPr>
        <w:pStyle w:val="ListParagraph"/>
        <w:numPr>
          <w:ilvl w:val="0"/>
          <w:numId w:val="9"/>
        </w:numPr>
        <w:rPr>
          <w:sz w:val="24"/>
          <w:szCs w:val="24"/>
        </w:rPr>
      </w:pPr>
      <w:r>
        <w:rPr>
          <w:sz w:val="24"/>
          <w:szCs w:val="24"/>
        </w:rPr>
        <w:t>Fiscal analysis was conducted for reimbursement of APRNs in school-based health centers and community health centers;</w:t>
      </w:r>
    </w:p>
    <w:p w:rsidR="0074428D" w:rsidRDefault="0074428D" w:rsidP="0090505B">
      <w:pPr>
        <w:pStyle w:val="ListParagraph"/>
        <w:numPr>
          <w:ilvl w:val="0"/>
          <w:numId w:val="9"/>
        </w:numPr>
        <w:rPr>
          <w:sz w:val="24"/>
          <w:szCs w:val="24"/>
        </w:rPr>
      </w:pPr>
      <w:r>
        <w:rPr>
          <w:sz w:val="24"/>
          <w:szCs w:val="24"/>
        </w:rPr>
        <w:t>Rates were increased for APRNs based on expanded scope of practice from the 2013 Legislative session;</w:t>
      </w:r>
    </w:p>
    <w:p w:rsidR="0074428D" w:rsidRDefault="0074428D" w:rsidP="0090505B">
      <w:pPr>
        <w:pStyle w:val="ListParagraph"/>
        <w:numPr>
          <w:ilvl w:val="0"/>
          <w:numId w:val="9"/>
        </w:numPr>
        <w:rPr>
          <w:sz w:val="24"/>
          <w:szCs w:val="24"/>
        </w:rPr>
      </w:pPr>
      <w:r>
        <w:rPr>
          <w:sz w:val="24"/>
          <w:szCs w:val="24"/>
        </w:rPr>
        <w:t>Policy was drafted to upgrade licensed clinical alcohol and drug counselors to Qualified Mental Health Practitioner status for Medicaid reimbursement;</w:t>
      </w:r>
    </w:p>
    <w:p w:rsidR="0074428D" w:rsidRDefault="0074428D" w:rsidP="0090505B">
      <w:pPr>
        <w:pStyle w:val="ListParagraph"/>
        <w:numPr>
          <w:ilvl w:val="0"/>
          <w:numId w:val="9"/>
        </w:numPr>
        <w:rPr>
          <w:sz w:val="24"/>
          <w:szCs w:val="24"/>
        </w:rPr>
      </w:pPr>
      <w:r>
        <w:rPr>
          <w:sz w:val="24"/>
          <w:szCs w:val="24"/>
        </w:rPr>
        <w:t>Policy revisions were drafted related to excluding use of interns as clinical supervisors; they must be licensed with at least 2 years of clinical experience.</w:t>
      </w:r>
    </w:p>
    <w:p w:rsidR="0074428D" w:rsidRDefault="0074428D" w:rsidP="002966D1">
      <w:pPr>
        <w:rPr>
          <w:sz w:val="24"/>
          <w:szCs w:val="24"/>
        </w:rPr>
      </w:pPr>
      <w:r>
        <w:rPr>
          <w:sz w:val="24"/>
          <w:szCs w:val="24"/>
        </w:rPr>
        <w:t>The PCO Manager provides regular updates to the Medical Care Advisory Council as a means of keeping track of the status of all of the recommendations related to Medicaid.</w:t>
      </w:r>
    </w:p>
    <w:p w:rsidR="0074428D" w:rsidRDefault="0074428D" w:rsidP="002966D1">
      <w:pPr>
        <w:rPr>
          <w:sz w:val="24"/>
          <w:szCs w:val="24"/>
        </w:rPr>
      </w:pPr>
      <w:r>
        <w:rPr>
          <w:sz w:val="24"/>
          <w:szCs w:val="24"/>
        </w:rPr>
        <w:t xml:space="preserve">Because Medicare is wholly administered at the federal level, we do not have the same opportunity to implement changes as is the case with Medicaid. However, we did communicate some of our recommendations as part of a response to a federal </w:t>
      </w:r>
      <w:r>
        <w:rPr>
          <w:i/>
          <w:sz w:val="24"/>
          <w:szCs w:val="24"/>
        </w:rPr>
        <w:t xml:space="preserve">Career Pathways Request for Information </w:t>
      </w:r>
      <w:r>
        <w:rPr>
          <w:sz w:val="24"/>
          <w:szCs w:val="24"/>
        </w:rPr>
        <w:t>that was a collaborative among the Departments of Education, Health and Human Services, and Labor.  Recommendations included the following:</w:t>
      </w:r>
    </w:p>
    <w:p w:rsidR="0074428D" w:rsidRDefault="0074428D" w:rsidP="00023658">
      <w:pPr>
        <w:pStyle w:val="ListParagraph"/>
        <w:numPr>
          <w:ilvl w:val="0"/>
          <w:numId w:val="10"/>
        </w:numPr>
        <w:rPr>
          <w:sz w:val="24"/>
          <w:szCs w:val="24"/>
        </w:rPr>
      </w:pPr>
      <w:r>
        <w:rPr>
          <w:sz w:val="24"/>
          <w:szCs w:val="24"/>
        </w:rPr>
        <w:t>More Medicare supported GME slots are needed in Nevada to help recruit and retain primary and behavioral health provider residents;</w:t>
      </w:r>
    </w:p>
    <w:p w:rsidR="0074428D" w:rsidRDefault="0074428D" w:rsidP="00023658">
      <w:pPr>
        <w:pStyle w:val="ListParagraph"/>
        <w:numPr>
          <w:ilvl w:val="0"/>
          <w:numId w:val="10"/>
        </w:numPr>
        <w:rPr>
          <w:sz w:val="24"/>
          <w:szCs w:val="24"/>
        </w:rPr>
      </w:pPr>
      <w:r>
        <w:rPr>
          <w:sz w:val="24"/>
          <w:szCs w:val="24"/>
        </w:rPr>
        <w:t>Medicare reimbursement needs to support all behavioral health professionals, consistent with scopes of practice;</w:t>
      </w:r>
    </w:p>
    <w:p w:rsidR="0074428D" w:rsidRDefault="0074428D" w:rsidP="00023658">
      <w:pPr>
        <w:pStyle w:val="ListParagraph"/>
        <w:numPr>
          <w:ilvl w:val="0"/>
          <w:numId w:val="10"/>
        </w:numPr>
        <w:rPr>
          <w:sz w:val="24"/>
          <w:szCs w:val="24"/>
        </w:rPr>
      </w:pPr>
      <w:r>
        <w:rPr>
          <w:sz w:val="24"/>
          <w:szCs w:val="24"/>
        </w:rPr>
        <w:t>Expansion of reimbursement for interns would also help expand the pipeline;</w:t>
      </w:r>
    </w:p>
    <w:p w:rsidR="0074428D" w:rsidRDefault="0074428D" w:rsidP="00023658">
      <w:pPr>
        <w:pStyle w:val="ListParagraph"/>
        <w:numPr>
          <w:ilvl w:val="0"/>
          <w:numId w:val="10"/>
        </w:numPr>
        <w:rPr>
          <w:sz w:val="24"/>
          <w:szCs w:val="24"/>
        </w:rPr>
      </w:pPr>
      <w:r>
        <w:rPr>
          <w:sz w:val="24"/>
          <w:szCs w:val="24"/>
        </w:rPr>
        <w:t>Federal support for data development on health professionals is needed to support existing processes for health professional shortage area designations, and to project workforce supply and demand in the future;</w:t>
      </w:r>
    </w:p>
    <w:p w:rsidR="0074428D" w:rsidRDefault="0074428D" w:rsidP="00023658">
      <w:pPr>
        <w:pStyle w:val="ListParagraph"/>
        <w:numPr>
          <w:ilvl w:val="0"/>
          <w:numId w:val="10"/>
        </w:numPr>
        <w:rPr>
          <w:sz w:val="24"/>
          <w:szCs w:val="24"/>
        </w:rPr>
      </w:pPr>
      <w:r>
        <w:rPr>
          <w:sz w:val="24"/>
          <w:szCs w:val="24"/>
        </w:rPr>
        <w:lastRenderedPageBreak/>
        <w:t>Streamline process for S</w:t>
      </w:r>
      <w:r w:rsidR="00DA1648">
        <w:rPr>
          <w:sz w:val="24"/>
          <w:szCs w:val="24"/>
        </w:rPr>
        <w:t xml:space="preserve">upplemental </w:t>
      </w:r>
      <w:r>
        <w:rPr>
          <w:sz w:val="24"/>
          <w:szCs w:val="24"/>
        </w:rPr>
        <w:t>S</w:t>
      </w:r>
      <w:r w:rsidR="00DA1648">
        <w:rPr>
          <w:sz w:val="24"/>
          <w:szCs w:val="24"/>
        </w:rPr>
        <w:t xml:space="preserve">upport </w:t>
      </w:r>
      <w:r>
        <w:rPr>
          <w:sz w:val="24"/>
          <w:szCs w:val="24"/>
        </w:rPr>
        <w:t>I</w:t>
      </w:r>
      <w:r w:rsidR="00DA1648">
        <w:rPr>
          <w:sz w:val="24"/>
          <w:szCs w:val="24"/>
        </w:rPr>
        <w:t>ncome</w:t>
      </w:r>
      <w:r>
        <w:rPr>
          <w:sz w:val="24"/>
          <w:szCs w:val="24"/>
        </w:rPr>
        <w:t>/S</w:t>
      </w:r>
      <w:r w:rsidR="00DA1648">
        <w:rPr>
          <w:sz w:val="24"/>
          <w:szCs w:val="24"/>
        </w:rPr>
        <w:t xml:space="preserve">ocial </w:t>
      </w:r>
      <w:r>
        <w:rPr>
          <w:sz w:val="24"/>
          <w:szCs w:val="24"/>
        </w:rPr>
        <w:t>S</w:t>
      </w:r>
      <w:r w:rsidR="00DA1648">
        <w:rPr>
          <w:sz w:val="24"/>
          <w:szCs w:val="24"/>
        </w:rPr>
        <w:t xml:space="preserve">ecurity </w:t>
      </w:r>
      <w:r>
        <w:rPr>
          <w:sz w:val="24"/>
          <w:szCs w:val="24"/>
        </w:rPr>
        <w:t>D</w:t>
      </w:r>
      <w:r w:rsidR="00DA1648">
        <w:rPr>
          <w:sz w:val="24"/>
          <w:szCs w:val="24"/>
        </w:rPr>
        <w:t xml:space="preserve">isability </w:t>
      </w:r>
      <w:r>
        <w:rPr>
          <w:sz w:val="24"/>
          <w:szCs w:val="24"/>
        </w:rPr>
        <w:t>I</w:t>
      </w:r>
      <w:r w:rsidR="00DA1648">
        <w:rPr>
          <w:sz w:val="24"/>
          <w:szCs w:val="24"/>
        </w:rPr>
        <w:t>nsurance</w:t>
      </w:r>
      <w:r>
        <w:rPr>
          <w:sz w:val="24"/>
          <w:szCs w:val="24"/>
        </w:rPr>
        <w:t xml:space="preserve"> eligibility and expand authorization for completing disability assessment;</w:t>
      </w:r>
    </w:p>
    <w:p w:rsidR="0074428D" w:rsidRDefault="0074428D" w:rsidP="00023658">
      <w:pPr>
        <w:pStyle w:val="ListParagraph"/>
        <w:numPr>
          <w:ilvl w:val="0"/>
          <w:numId w:val="10"/>
        </w:numPr>
        <w:rPr>
          <w:sz w:val="24"/>
          <w:szCs w:val="24"/>
        </w:rPr>
      </w:pPr>
      <w:r>
        <w:rPr>
          <w:sz w:val="24"/>
          <w:szCs w:val="24"/>
        </w:rPr>
        <w:t>Consider centralized contracting process with standard rates;</w:t>
      </w:r>
    </w:p>
    <w:p w:rsidR="0074428D" w:rsidRDefault="0074428D" w:rsidP="00023658">
      <w:pPr>
        <w:pStyle w:val="ListParagraph"/>
        <w:numPr>
          <w:ilvl w:val="0"/>
          <w:numId w:val="10"/>
        </w:numPr>
        <w:rPr>
          <w:sz w:val="24"/>
          <w:szCs w:val="24"/>
        </w:rPr>
      </w:pPr>
      <w:r>
        <w:rPr>
          <w:sz w:val="24"/>
          <w:szCs w:val="24"/>
        </w:rPr>
        <w:t>Expand reimbursement to case management and rehabilitative services; and</w:t>
      </w:r>
    </w:p>
    <w:p w:rsidR="0074428D" w:rsidRDefault="0074428D" w:rsidP="00023658">
      <w:pPr>
        <w:pStyle w:val="ListParagraph"/>
        <w:numPr>
          <w:ilvl w:val="0"/>
          <w:numId w:val="10"/>
        </w:numPr>
        <w:rPr>
          <w:sz w:val="24"/>
          <w:szCs w:val="24"/>
        </w:rPr>
      </w:pPr>
      <w:r>
        <w:rPr>
          <w:sz w:val="24"/>
          <w:szCs w:val="24"/>
        </w:rPr>
        <w:t>Increase reimbursement for Nurse Practitioners and Certified Nurse Specialists to the level of Primary Care Providers.</w:t>
      </w:r>
    </w:p>
    <w:p w:rsidR="0074428D" w:rsidRDefault="0074428D" w:rsidP="00EC2CCF">
      <w:pPr>
        <w:rPr>
          <w:sz w:val="24"/>
          <w:szCs w:val="24"/>
        </w:rPr>
      </w:pPr>
    </w:p>
    <w:p w:rsidR="0074428D" w:rsidRDefault="0074428D" w:rsidP="00EC2CCF">
      <w:pPr>
        <w:rPr>
          <w:sz w:val="24"/>
          <w:szCs w:val="24"/>
        </w:rPr>
      </w:pPr>
      <w:r>
        <w:rPr>
          <w:sz w:val="24"/>
          <w:szCs w:val="24"/>
          <w:u w:val="single"/>
        </w:rPr>
        <w:t>State Personnel Classification</w:t>
      </w:r>
    </w:p>
    <w:p w:rsidR="0074428D" w:rsidRDefault="0074428D" w:rsidP="00EC2CCF">
      <w:pPr>
        <w:rPr>
          <w:sz w:val="24"/>
          <w:szCs w:val="24"/>
        </w:rPr>
      </w:pPr>
      <w:r>
        <w:rPr>
          <w:sz w:val="24"/>
          <w:szCs w:val="24"/>
        </w:rPr>
        <w:t>State Personnel Classification plays a significant role in the behavioral health professional pipeline in Nevada, because the state provides direct services for behavioral health and community nursing, with nearly 2,000 positions under the Department of Health and Human Services.  Recommendations in this area cut across five sectors: Increase Salaries; Supplemental Support; Develop Career Pathways; Develop Marketing Campaign; and Expand Outreach.</w:t>
      </w:r>
    </w:p>
    <w:p w:rsidR="0074428D" w:rsidRDefault="0074428D" w:rsidP="00EC2CCF">
      <w:pPr>
        <w:rPr>
          <w:sz w:val="24"/>
          <w:szCs w:val="24"/>
        </w:rPr>
      </w:pPr>
      <w:r>
        <w:rPr>
          <w:b/>
          <w:sz w:val="24"/>
          <w:szCs w:val="24"/>
        </w:rPr>
        <w:t>Increase Salaries</w:t>
      </w:r>
    </w:p>
    <w:p w:rsidR="0074428D" w:rsidRDefault="0074428D" w:rsidP="00846187">
      <w:pPr>
        <w:pStyle w:val="ListParagraph"/>
        <w:numPr>
          <w:ilvl w:val="0"/>
          <w:numId w:val="11"/>
        </w:numPr>
        <w:rPr>
          <w:sz w:val="24"/>
          <w:szCs w:val="24"/>
        </w:rPr>
      </w:pPr>
      <w:r>
        <w:rPr>
          <w:sz w:val="24"/>
          <w:szCs w:val="24"/>
        </w:rPr>
        <w:t>Increase salaries for psychiatrists, psychologists and nurses;</w:t>
      </w:r>
    </w:p>
    <w:p w:rsidR="0074428D" w:rsidRDefault="0074428D" w:rsidP="00846187">
      <w:pPr>
        <w:pStyle w:val="ListParagraph"/>
        <w:numPr>
          <w:ilvl w:val="0"/>
          <w:numId w:val="11"/>
        </w:numPr>
        <w:rPr>
          <w:sz w:val="24"/>
          <w:szCs w:val="24"/>
        </w:rPr>
      </w:pPr>
      <w:r>
        <w:rPr>
          <w:sz w:val="24"/>
          <w:szCs w:val="24"/>
        </w:rPr>
        <w:t>Revise class specification for Clinical Social Workers based on licensure requirement;</w:t>
      </w:r>
    </w:p>
    <w:p w:rsidR="0074428D" w:rsidRDefault="0074428D" w:rsidP="002A783C">
      <w:pPr>
        <w:pStyle w:val="ListParagraph"/>
        <w:numPr>
          <w:ilvl w:val="1"/>
          <w:numId w:val="11"/>
        </w:numPr>
        <w:rPr>
          <w:sz w:val="24"/>
          <w:szCs w:val="24"/>
        </w:rPr>
      </w:pPr>
      <w:r>
        <w:rPr>
          <w:sz w:val="24"/>
          <w:szCs w:val="24"/>
        </w:rPr>
        <w:t xml:space="preserve">Upgrade CSW I from grade 35 to 37, CSW II from 37 to 39, and CSW </w:t>
      </w:r>
      <w:smartTag w:uri="urn:schemas-microsoft-com:office:smarttags" w:element="stockticker">
        <w:r>
          <w:rPr>
            <w:sz w:val="24"/>
            <w:szCs w:val="24"/>
          </w:rPr>
          <w:t>III</w:t>
        </w:r>
      </w:smartTag>
      <w:r>
        <w:rPr>
          <w:sz w:val="24"/>
          <w:szCs w:val="24"/>
        </w:rPr>
        <w:t xml:space="preserve"> from 39 to 41;</w:t>
      </w:r>
    </w:p>
    <w:p w:rsidR="0074428D" w:rsidRDefault="0074428D" w:rsidP="002A783C">
      <w:pPr>
        <w:pStyle w:val="ListParagraph"/>
        <w:numPr>
          <w:ilvl w:val="1"/>
          <w:numId w:val="11"/>
        </w:numPr>
        <w:rPr>
          <w:sz w:val="24"/>
          <w:szCs w:val="24"/>
        </w:rPr>
      </w:pPr>
      <w:r>
        <w:rPr>
          <w:sz w:val="24"/>
          <w:szCs w:val="24"/>
        </w:rPr>
        <w:t>Add CSW IV (43) and CSW V (45) to mirror track for Mental Health Counselor series.</w:t>
      </w:r>
    </w:p>
    <w:p w:rsidR="0074428D" w:rsidRDefault="0074428D" w:rsidP="002A783C">
      <w:pPr>
        <w:rPr>
          <w:sz w:val="24"/>
          <w:szCs w:val="24"/>
        </w:rPr>
      </w:pPr>
      <w:r>
        <w:rPr>
          <w:b/>
          <w:sz w:val="24"/>
          <w:szCs w:val="24"/>
        </w:rPr>
        <w:t>Supplemental Support</w:t>
      </w:r>
    </w:p>
    <w:p w:rsidR="0074428D" w:rsidRDefault="0074428D" w:rsidP="002A783C">
      <w:pPr>
        <w:pStyle w:val="ListParagraph"/>
        <w:numPr>
          <w:ilvl w:val="0"/>
          <w:numId w:val="12"/>
        </w:numPr>
        <w:rPr>
          <w:sz w:val="24"/>
          <w:szCs w:val="24"/>
        </w:rPr>
      </w:pPr>
      <w:r>
        <w:rPr>
          <w:sz w:val="24"/>
          <w:szCs w:val="24"/>
        </w:rPr>
        <w:t xml:space="preserve">Consider covering travel, relocation, </w:t>
      </w:r>
      <w:r w:rsidR="00DA1648">
        <w:rPr>
          <w:sz w:val="24"/>
          <w:szCs w:val="24"/>
        </w:rPr>
        <w:t>continuing medical education</w:t>
      </w:r>
      <w:r>
        <w:rPr>
          <w:sz w:val="24"/>
          <w:szCs w:val="24"/>
        </w:rPr>
        <w:t xml:space="preserve"> and licensure costs;</w:t>
      </w:r>
    </w:p>
    <w:p w:rsidR="0074428D" w:rsidRDefault="0074428D" w:rsidP="002A783C">
      <w:pPr>
        <w:pStyle w:val="ListParagraph"/>
        <w:numPr>
          <w:ilvl w:val="0"/>
          <w:numId w:val="12"/>
        </w:numPr>
        <w:rPr>
          <w:sz w:val="24"/>
          <w:szCs w:val="24"/>
        </w:rPr>
      </w:pPr>
      <w:r>
        <w:rPr>
          <w:sz w:val="24"/>
          <w:szCs w:val="24"/>
        </w:rPr>
        <w:t>Consider shift differential for inpatient, after hours, or emergency call;</w:t>
      </w:r>
    </w:p>
    <w:p w:rsidR="0074428D" w:rsidRDefault="0074428D" w:rsidP="002A783C">
      <w:pPr>
        <w:pStyle w:val="ListParagraph"/>
        <w:numPr>
          <w:ilvl w:val="0"/>
          <w:numId w:val="12"/>
        </w:numPr>
        <w:rPr>
          <w:sz w:val="24"/>
          <w:szCs w:val="24"/>
        </w:rPr>
      </w:pPr>
      <w:r>
        <w:rPr>
          <w:sz w:val="24"/>
          <w:szCs w:val="24"/>
        </w:rPr>
        <w:t>Consider incentive pay for dual certification;</w:t>
      </w:r>
    </w:p>
    <w:p w:rsidR="0074428D" w:rsidRDefault="0074428D" w:rsidP="002A783C">
      <w:pPr>
        <w:pStyle w:val="ListParagraph"/>
        <w:numPr>
          <w:ilvl w:val="0"/>
          <w:numId w:val="12"/>
        </w:numPr>
        <w:rPr>
          <w:sz w:val="24"/>
          <w:szCs w:val="24"/>
        </w:rPr>
      </w:pPr>
      <w:r>
        <w:rPr>
          <w:sz w:val="24"/>
          <w:szCs w:val="24"/>
        </w:rPr>
        <w:t>Develop promot</w:t>
      </w:r>
      <w:r w:rsidR="00DA1648">
        <w:rPr>
          <w:sz w:val="24"/>
          <w:szCs w:val="24"/>
        </w:rPr>
        <w:t>ional steps and annual cost of living adjustment</w:t>
      </w:r>
      <w:r>
        <w:rPr>
          <w:sz w:val="24"/>
          <w:szCs w:val="24"/>
        </w:rPr>
        <w:t>;</w:t>
      </w:r>
    </w:p>
    <w:p w:rsidR="0074428D" w:rsidRDefault="0074428D" w:rsidP="002A783C">
      <w:pPr>
        <w:pStyle w:val="ListParagraph"/>
        <w:numPr>
          <w:ilvl w:val="0"/>
          <w:numId w:val="12"/>
        </w:numPr>
        <w:rPr>
          <w:sz w:val="24"/>
          <w:szCs w:val="24"/>
        </w:rPr>
      </w:pPr>
      <w:r>
        <w:rPr>
          <w:sz w:val="24"/>
          <w:szCs w:val="24"/>
        </w:rPr>
        <w:t>Develop incentives for licensed professionals willing to provide supervision for interns;</w:t>
      </w:r>
    </w:p>
    <w:p w:rsidR="0074428D" w:rsidRDefault="0074428D" w:rsidP="002A783C">
      <w:pPr>
        <w:pStyle w:val="ListParagraph"/>
        <w:numPr>
          <w:ilvl w:val="0"/>
          <w:numId w:val="12"/>
        </w:numPr>
        <w:rPr>
          <w:sz w:val="24"/>
          <w:szCs w:val="24"/>
        </w:rPr>
      </w:pPr>
      <w:r>
        <w:rPr>
          <w:sz w:val="24"/>
          <w:szCs w:val="24"/>
        </w:rPr>
        <w:t>Reinstate 5% pay for bilingual staff and for hard to fill locations, e.g., critical shortage areas; and</w:t>
      </w:r>
    </w:p>
    <w:p w:rsidR="0074428D" w:rsidRDefault="0074428D" w:rsidP="002A783C">
      <w:pPr>
        <w:pStyle w:val="ListParagraph"/>
        <w:numPr>
          <w:ilvl w:val="0"/>
          <w:numId w:val="12"/>
        </w:numPr>
        <w:rPr>
          <w:sz w:val="24"/>
          <w:szCs w:val="24"/>
        </w:rPr>
      </w:pPr>
      <w:r>
        <w:rPr>
          <w:sz w:val="24"/>
          <w:szCs w:val="24"/>
        </w:rPr>
        <w:t>Improve process to request accelerated pay for a new hire.</w:t>
      </w:r>
    </w:p>
    <w:p w:rsidR="0074428D" w:rsidRDefault="0074428D" w:rsidP="002A783C">
      <w:pPr>
        <w:rPr>
          <w:sz w:val="24"/>
          <w:szCs w:val="24"/>
        </w:rPr>
      </w:pPr>
      <w:r>
        <w:rPr>
          <w:b/>
          <w:sz w:val="24"/>
          <w:szCs w:val="24"/>
        </w:rPr>
        <w:t>Develop Career Pathways</w:t>
      </w:r>
    </w:p>
    <w:p w:rsidR="0074428D" w:rsidRDefault="0074428D" w:rsidP="002A783C">
      <w:pPr>
        <w:pStyle w:val="ListParagraph"/>
        <w:numPr>
          <w:ilvl w:val="0"/>
          <w:numId w:val="13"/>
        </w:numPr>
        <w:rPr>
          <w:sz w:val="24"/>
          <w:szCs w:val="24"/>
        </w:rPr>
      </w:pPr>
      <w:r>
        <w:rPr>
          <w:sz w:val="24"/>
          <w:szCs w:val="24"/>
        </w:rPr>
        <w:lastRenderedPageBreak/>
        <w:t>Promote general career path, and develop state-career path for under/graduate social work students, and include specialties, such as child therapy and rural social work; and</w:t>
      </w:r>
    </w:p>
    <w:p w:rsidR="0074428D" w:rsidRDefault="0074428D" w:rsidP="002A783C">
      <w:pPr>
        <w:pStyle w:val="ListParagraph"/>
        <w:numPr>
          <w:ilvl w:val="0"/>
          <w:numId w:val="13"/>
        </w:numPr>
        <w:rPr>
          <w:sz w:val="24"/>
          <w:szCs w:val="24"/>
        </w:rPr>
      </w:pPr>
      <w:r>
        <w:rPr>
          <w:sz w:val="24"/>
          <w:szCs w:val="24"/>
        </w:rPr>
        <w:t>Create state positions for clinical internship to include job duties specific to supervising interns.</w:t>
      </w:r>
    </w:p>
    <w:p w:rsidR="0074428D" w:rsidRDefault="0074428D" w:rsidP="002A783C">
      <w:pPr>
        <w:rPr>
          <w:sz w:val="24"/>
          <w:szCs w:val="24"/>
        </w:rPr>
      </w:pPr>
      <w:r>
        <w:rPr>
          <w:b/>
          <w:sz w:val="24"/>
          <w:szCs w:val="24"/>
        </w:rPr>
        <w:t>Develop Marketing Campaign</w:t>
      </w:r>
    </w:p>
    <w:p w:rsidR="0074428D" w:rsidRDefault="0074428D" w:rsidP="002A783C">
      <w:pPr>
        <w:pStyle w:val="ListParagraph"/>
        <w:numPr>
          <w:ilvl w:val="0"/>
          <w:numId w:val="14"/>
        </w:numPr>
        <w:rPr>
          <w:sz w:val="24"/>
          <w:szCs w:val="24"/>
        </w:rPr>
      </w:pPr>
      <w:r>
        <w:rPr>
          <w:sz w:val="24"/>
          <w:szCs w:val="24"/>
        </w:rPr>
        <w:t xml:space="preserve">Address stigma with </w:t>
      </w:r>
      <w:r w:rsidR="00DA1648">
        <w:rPr>
          <w:sz w:val="24"/>
          <w:szCs w:val="24"/>
        </w:rPr>
        <w:t>public service announcement</w:t>
      </w:r>
      <w:r>
        <w:rPr>
          <w:sz w:val="24"/>
          <w:szCs w:val="24"/>
        </w:rPr>
        <w:t>s from American Psychiatric Association;</w:t>
      </w:r>
    </w:p>
    <w:p w:rsidR="0074428D" w:rsidRDefault="0074428D" w:rsidP="002A783C">
      <w:pPr>
        <w:pStyle w:val="ListParagraph"/>
        <w:numPr>
          <w:ilvl w:val="0"/>
          <w:numId w:val="14"/>
        </w:numPr>
        <w:rPr>
          <w:sz w:val="24"/>
          <w:szCs w:val="24"/>
        </w:rPr>
      </w:pPr>
      <w:r>
        <w:rPr>
          <w:sz w:val="24"/>
          <w:szCs w:val="24"/>
        </w:rPr>
        <w:t>Ask Governor, et al, to do welcome at annual N</w:t>
      </w:r>
      <w:r w:rsidR="00DA1648">
        <w:rPr>
          <w:sz w:val="24"/>
          <w:szCs w:val="24"/>
        </w:rPr>
        <w:t xml:space="preserve">ational </w:t>
      </w:r>
      <w:r>
        <w:rPr>
          <w:sz w:val="24"/>
          <w:szCs w:val="24"/>
        </w:rPr>
        <w:t>P</w:t>
      </w:r>
      <w:r w:rsidR="00DA1648">
        <w:rPr>
          <w:sz w:val="24"/>
          <w:szCs w:val="24"/>
        </w:rPr>
        <w:t xml:space="preserve">sychiatric </w:t>
      </w:r>
      <w:r>
        <w:rPr>
          <w:sz w:val="24"/>
          <w:szCs w:val="24"/>
        </w:rPr>
        <w:t>A</w:t>
      </w:r>
      <w:r w:rsidR="00DA1648">
        <w:rPr>
          <w:sz w:val="24"/>
          <w:szCs w:val="24"/>
        </w:rPr>
        <w:t>ssociation</w:t>
      </w:r>
      <w:r>
        <w:rPr>
          <w:sz w:val="24"/>
          <w:szCs w:val="24"/>
        </w:rPr>
        <w:t xml:space="preserve"> meeting in Las Vegas and talk about steps to improve behavioral health system in Nevada; and</w:t>
      </w:r>
    </w:p>
    <w:p w:rsidR="0074428D" w:rsidRDefault="0074428D" w:rsidP="002A783C">
      <w:pPr>
        <w:pStyle w:val="ListParagraph"/>
        <w:numPr>
          <w:ilvl w:val="0"/>
          <w:numId w:val="14"/>
        </w:numPr>
        <w:rPr>
          <w:sz w:val="24"/>
          <w:szCs w:val="24"/>
        </w:rPr>
      </w:pPr>
      <w:r>
        <w:rPr>
          <w:sz w:val="24"/>
          <w:szCs w:val="24"/>
        </w:rPr>
        <w:t>Do mini-internships for Legislators and others to spend a day with behavioral health professionals.</w:t>
      </w:r>
    </w:p>
    <w:p w:rsidR="0074428D" w:rsidRPr="009A714F" w:rsidRDefault="0074428D" w:rsidP="009A714F">
      <w:pPr>
        <w:rPr>
          <w:b/>
          <w:sz w:val="24"/>
          <w:szCs w:val="24"/>
        </w:rPr>
      </w:pPr>
      <w:r w:rsidRPr="009A714F">
        <w:rPr>
          <w:b/>
          <w:sz w:val="24"/>
          <w:szCs w:val="24"/>
        </w:rPr>
        <w:t>Expand Outreach</w:t>
      </w:r>
    </w:p>
    <w:p w:rsidR="0074428D" w:rsidRDefault="0074428D" w:rsidP="009A714F">
      <w:pPr>
        <w:pStyle w:val="ListParagraph"/>
        <w:numPr>
          <w:ilvl w:val="0"/>
          <w:numId w:val="15"/>
        </w:numPr>
        <w:rPr>
          <w:sz w:val="24"/>
          <w:szCs w:val="24"/>
        </w:rPr>
      </w:pPr>
      <w:r>
        <w:rPr>
          <w:sz w:val="24"/>
          <w:szCs w:val="24"/>
        </w:rPr>
        <w:t>Add cultural competence to the Knowledge, Skills and Abilities section of the class series for all social service providers;</w:t>
      </w:r>
    </w:p>
    <w:p w:rsidR="0074428D" w:rsidRDefault="0074428D" w:rsidP="009A714F">
      <w:pPr>
        <w:pStyle w:val="ListParagraph"/>
        <w:numPr>
          <w:ilvl w:val="0"/>
          <w:numId w:val="15"/>
        </w:numPr>
        <w:rPr>
          <w:sz w:val="24"/>
          <w:szCs w:val="24"/>
        </w:rPr>
      </w:pPr>
      <w:r>
        <w:rPr>
          <w:sz w:val="24"/>
          <w:szCs w:val="24"/>
        </w:rPr>
        <w:t xml:space="preserve">Expand definition of Cultural Competence: </w:t>
      </w:r>
      <w:r>
        <w:rPr>
          <w:i/>
          <w:sz w:val="24"/>
          <w:szCs w:val="24"/>
        </w:rPr>
        <w:t>The delivery of services responsive to the cultural context of racial and ethnic minority groups, as well as differently abled or oriented groups, including but not limited to their languages, histories, traditions, beliefs and values.</w:t>
      </w:r>
    </w:p>
    <w:p w:rsidR="0074428D" w:rsidRDefault="0074428D" w:rsidP="009A714F">
      <w:pPr>
        <w:rPr>
          <w:sz w:val="24"/>
          <w:szCs w:val="24"/>
          <w:u w:val="single"/>
        </w:rPr>
      </w:pPr>
    </w:p>
    <w:p w:rsidR="0074428D" w:rsidRDefault="0074428D" w:rsidP="009A714F">
      <w:pPr>
        <w:rPr>
          <w:sz w:val="24"/>
          <w:szCs w:val="24"/>
          <w:u w:val="single"/>
        </w:rPr>
      </w:pPr>
      <w:r>
        <w:rPr>
          <w:sz w:val="24"/>
          <w:szCs w:val="24"/>
          <w:u w:val="single"/>
        </w:rPr>
        <w:t>Loan Repayment and Scholarship Programs</w:t>
      </w:r>
    </w:p>
    <w:p w:rsidR="0074428D" w:rsidRDefault="0074428D" w:rsidP="00887C1B">
      <w:pPr>
        <w:rPr>
          <w:sz w:val="24"/>
          <w:szCs w:val="24"/>
        </w:rPr>
      </w:pPr>
      <w:r>
        <w:rPr>
          <w:sz w:val="24"/>
          <w:szCs w:val="24"/>
        </w:rPr>
        <w:t xml:space="preserve">The PCO serves as the state liaison for National Health Service Corps, Nurse CORPS and Nevada Conrad 30/J-1 Physician Visa Waiver programs.  We also collaborate with the State Office of Rural Health on the state loan repayment program and with the Nevada </w:t>
      </w:r>
      <w:r w:rsidR="00DA1648">
        <w:rPr>
          <w:sz w:val="24"/>
          <w:szCs w:val="24"/>
        </w:rPr>
        <w:t>WICHE</w:t>
      </w:r>
      <w:bookmarkStart w:id="0" w:name="_GoBack"/>
      <w:bookmarkEnd w:id="0"/>
      <w:r>
        <w:rPr>
          <w:sz w:val="24"/>
          <w:szCs w:val="24"/>
        </w:rPr>
        <w:t>for tuition and intern support programs.  Because we have a key role in these programs, we were able to identify some specific issues to be addressed, and may have opportunities to advocate for change more directly.  Recommendations include the following:</w:t>
      </w:r>
    </w:p>
    <w:p w:rsidR="0074428D" w:rsidRPr="00887C1B" w:rsidRDefault="0074428D" w:rsidP="00887C1B">
      <w:pPr>
        <w:pStyle w:val="ListParagraph"/>
        <w:numPr>
          <w:ilvl w:val="0"/>
          <w:numId w:val="16"/>
        </w:numPr>
        <w:rPr>
          <w:sz w:val="24"/>
          <w:szCs w:val="24"/>
        </w:rPr>
      </w:pPr>
      <w:r w:rsidRPr="00887C1B">
        <w:rPr>
          <w:sz w:val="24"/>
          <w:szCs w:val="24"/>
        </w:rPr>
        <w:t>Currently, alcohol and drug abuse counselors are not eligible for scholarships or loan repayment under the National Health Service Corps, or for reimbursement under Medicare, while the Affordable Care Act advocates for integration of substance abuse treatment with mental health and primary care.  Developmental Disability Counselors are also not eligible for these programs.  Expanded eligibility should include the full range of behavioral health professionals for scholarship, loan repayment and reimbursement.</w:t>
      </w:r>
    </w:p>
    <w:p w:rsidR="0074428D" w:rsidRDefault="0074428D" w:rsidP="005E0CF5">
      <w:pPr>
        <w:pStyle w:val="ListParagraph"/>
        <w:numPr>
          <w:ilvl w:val="0"/>
          <w:numId w:val="10"/>
        </w:numPr>
        <w:rPr>
          <w:sz w:val="24"/>
          <w:szCs w:val="24"/>
        </w:rPr>
      </w:pPr>
      <w:r>
        <w:rPr>
          <w:sz w:val="24"/>
          <w:szCs w:val="24"/>
        </w:rPr>
        <w:lastRenderedPageBreak/>
        <w:t>Currently, telehealth is limited to not more than 25% of direct patient care hours per week, for National Health Service Corps loan repayment clinicians.  This is a tremendous obstacle for western states with large rural and frontier areas, but also for urban populations with provider shortages.  Studies have shown that telehealth is just as effective as face-to-face counseling for behavioral health.  It is time for the NHSC to update this policy.</w:t>
      </w:r>
    </w:p>
    <w:p w:rsidR="0074428D" w:rsidRDefault="0074428D" w:rsidP="005E0CF5">
      <w:pPr>
        <w:pStyle w:val="ListParagraph"/>
        <w:numPr>
          <w:ilvl w:val="0"/>
          <w:numId w:val="10"/>
        </w:numPr>
        <w:rPr>
          <w:sz w:val="24"/>
          <w:szCs w:val="24"/>
        </w:rPr>
      </w:pPr>
      <w:r>
        <w:rPr>
          <w:sz w:val="24"/>
          <w:szCs w:val="24"/>
        </w:rPr>
        <w:t>State resources are needed to promote programs and provide matching funds.</w:t>
      </w:r>
    </w:p>
    <w:p w:rsidR="0074428D" w:rsidRDefault="0074428D" w:rsidP="00887C1B">
      <w:pPr>
        <w:rPr>
          <w:sz w:val="24"/>
          <w:szCs w:val="24"/>
        </w:rPr>
      </w:pPr>
      <w:r>
        <w:rPr>
          <w:sz w:val="24"/>
          <w:szCs w:val="24"/>
        </w:rPr>
        <w:t>The issues that are specific to the National Health Service Corps have been raised with HRSA Administration, informally; it is not clear what avenues are available to PCOs to make more formal</w:t>
      </w:r>
      <w:r w:rsidR="00AE0BAC">
        <w:rPr>
          <w:sz w:val="24"/>
          <w:szCs w:val="24"/>
        </w:rPr>
        <w:t xml:space="preserve"> policy</w:t>
      </w:r>
      <w:r>
        <w:rPr>
          <w:sz w:val="24"/>
          <w:szCs w:val="24"/>
        </w:rPr>
        <w:t xml:space="preserve"> recommendations to </w:t>
      </w:r>
      <w:r w:rsidR="00AE0BAC">
        <w:rPr>
          <w:sz w:val="24"/>
          <w:szCs w:val="24"/>
        </w:rPr>
        <w:t xml:space="preserve">the </w:t>
      </w:r>
      <w:r>
        <w:rPr>
          <w:sz w:val="24"/>
          <w:szCs w:val="24"/>
        </w:rPr>
        <w:t>HRSA Administration.</w:t>
      </w:r>
    </w:p>
    <w:p w:rsidR="0074428D" w:rsidRDefault="0074428D" w:rsidP="00887C1B">
      <w:pPr>
        <w:rPr>
          <w:sz w:val="24"/>
          <w:szCs w:val="24"/>
        </w:rPr>
      </w:pPr>
      <w:r>
        <w:rPr>
          <w:sz w:val="24"/>
          <w:szCs w:val="24"/>
        </w:rPr>
        <w:t>With regard to state resources, some funds were added back for state loan repayment matching funds through the Office of Rural Health, and collaboration with NV WICHE resulted in financial support for DPBH Psychology Interns and Psychiatric Nurse education.  The expansion of our PCO to do broader health care workforce development is funded with state resources and will support expanded outreach for existing programs, and will also support collection of comparative data, particularly for scopes of practice, licensure and certification requirements.  This data will be used to develop a statewide strategic plan to direct our limited resources to the areas with greatest need where we can have the most impact.</w:t>
      </w:r>
    </w:p>
    <w:p w:rsidR="0074428D" w:rsidRDefault="0074428D" w:rsidP="00887C1B">
      <w:pPr>
        <w:rPr>
          <w:sz w:val="24"/>
          <w:szCs w:val="24"/>
        </w:rPr>
      </w:pPr>
    </w:p>
    <w:p w:rsidR="0074428D" w:rsidRDefault="0074428D" w:rsidP="00887C1B">
      <w:pPr>
        <w:rPr>
          <w:sz w:val="24"/>
          <w:szCs w:val="24"/>
        </w:rPr>
      </w:pPr>
      <w:r>
        <w:rPr>
          <w:sz w:val="24"/>
          <w:szCs w:val="24"/>
        </w:rPr>
        <w:t>CONCLUSIONS</w:t>
      </w:r>
    </w:p>
    <w:p w:rsidR="0074428D" w:rsidRDefault="0074428D" w:rsidP="00887C1B">
      <w:pPr>
        <w:rPr>
          <w:sz w:val="24"/>
          <w:szCs w:val="24"/>
        </w:rPr>
      </w:pPr>
      <w:r>
        <w:rPr>
          <w:sz w:val="24"/>
          <w:szCs w:val="24"/>
        </w:rPr>
        <w:t xml:space="preserve">The health care rankings and the unmet health care needs and disparities that are extensively elaborated </w:t>
      </w:r>
      <w:r w:rsidR="00AE0BAC">
        <w:rPr>
          <w:sz w:val="24"/>
          <w:szCs w:val="24"/>
        </w:rPr>
        <w:t>in this report</w:t>
      </w:r>
      <w:r>
        <w:rPr>
          <w:sz w:val="24"/>
          <w:szCs w:val="24"/>
        </w:rPr>
        <w:t xml:space="preserve"> are addressed through multiple programs within the NV DHHS, as well as other public and private partners and stakeholders.  While these needs and disparities are relevant to the work of the PCO, we actually have a very limited toolkit with which to address them.   The HPSA designation process attempts to account for the principle indicators of access, provider shortage, geographic and structural barriers, health status, poverty, disparity and cultural competence.  Through this practical analysis, a relative degree of need is calculated to leverage federal resources for loan repayment and scholarship that serve as the foundation for recruitment and retention efforts through the PCO.  Increased funding for these programs u</w:t>
      </w:r>
      <w:r w:rsidR="00CB0FE7">
        <w:rPr>
          <w:sz w:val="24"/>
          <w:szCs w:val="24"/>
        </w:rPr>
        <w:t>nder the Affordable Care Act has</w:t>
      </w:r>
      <w:r>
        <w:rPr>
          <w:sz w:val="24"/>
          <w:szCs w:val="24"/>
        </w:rPr>
        <w:t xml:space="preserve"> been helpful in boosting provider participation levels, but the exponential growth in demand far outstrips the incremental growth in funding – </w:t>
      </w:r>
      <w:r w:rsidRPr="003156D9">
        <w:rPr>
          <w:i/>
          <w:sz w:val="24"/>
          <w:szCs w:val="24"/>
        </w:rPr>
        <w:t>we’re going to need a bigger boat</w:t>
      </w:r>
      <w:r>
        <w:rPr>
          <w:sz w:val="24"/>
          <w:szCs w:val="24"/>
        </w:rPr>
        <w:t>!</w:t>
      </w:r>
    </w:p>
    <w:p w:rsidR="0074428D" w:rsidRDefault="0074428D" w:rsidP="00887C1B">
      <w:pPr>
        <w:rPr>
          <w:sz w:val="24"/>
          <w:szCs w:val="24"/>
        </w:rPr>
      </w:pPr>
      <w:r>
        <w:rPr>
          <w:sz w:val="24"/>
          <w:szCs w:val="24"/>
        </w:rPr>
        <w:t xml:space="preserve">The expansion of our PCO, with state funds to do broader workforce development, will continue to engage stakeholders and </w:t>
      </w:r>
      <w:r w:rsidR="00CB0FE7">
        <w:rPr>
          <w:sz w:val="24"/>
          <w:szCs w:val="24"/>
        </w:rPr>
        <w:t xml:space="preserve">we will continue to </w:t>
      </w:r>
      <w:r>
        <w:rPr>
          <w:sz w:val="24"/>
          <w:szCs w:val="24"/>
        </w:rPr>
        <w:t xml:space="preserve">conduct research to help </w:t>
      </w:r>
      <w:r>
        <w:rPr>
          <w:sz w:val="24"/>
          <w:szCs w:val="24"/>
        </w:rPr>
        <w:lastRenderedPageBreak/>
        <w:t>identify areas for improvement, including policies as well as procedures.  Essentially, our aim is to create better systems for provider recruitment and retention, in concert with environmental changes that are taking place under health care reform, including patient-centered medical homes and accountable care organizations that promote team-based care.  By engaging the full-range of provider types and supporting practice at the top of scope, we believe we can make a stronger contribution to the provider side of the equation.  Expanding workforce training opportunities with our education partners to support patient health literacy at all levels can enhance patient understanding, compliance and trust.  In turn, this can help address health disparities where rates of chronic illness and high cost health care are most prevalent.</w:t>
      </w:r>
    </w:p>
    <w:p w:rsidR="0074428D" w:rsidRDefault="00CB0FE7" w:rsidP="00887C1B">
      <w:pPr>
        <w:rPr>
          <w:sz w:val="24"/>
          <w:szCs w:val="24"/>
        </w:rPr>
      </w:pPr>
      <w:r>
        <w:rPr>
          <w:sz w:val="24"/>
          <w:szCs w:val="24"/>
        </w:rPr>
        <w:t>While we do not anticipate that our efforts will fully address the growing need for health care professionals, we believe that the proactive steps we are taking will lead to significant improvements.  We appreciate the support of our federal partners in this worthwhile endeavor.</w:t>
      </w:r>
    </w:p>
    <w:sectPr w:rsidR="0074428D" w:rsidSect="001A3ACD">
      <w:headerReference w:type="default" r:id="rId10"/>
      <w:foot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9FA" w:rsidRDefault="00FE59FA" w:rsidP="009A7C59">
      <w:pPr>
        <w:spacing w:after="0" w:line="240" w:lineRule="auto"/>
      </w:pPr>
      <w:r>
        <w:separator/>
      </w:r>
    </w:p>
  </w:endnote>
  <w:endnote w:type="continuationSeparator" w:id="0">
    <w:p w:rsidR="00FE59FA" w:rsidRDefault="00FE59FA" w:rsidP="009A7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28D" w:rsidRDefault="0074428D">
    <w:pPr>
      <w:pStyle w:val="Footer"/>
      <w:pBdr>
        <w:top w:val="single" w:sz="4" w:space="1" w:color="D9D9D9"/>
      </w:pBdr>
      <w:jc w:val="right"/>
    </w:pPr>
    <w:r>
      <w:fldChar w:fldCharType="begin"/>
    </w:r>
    <w:r>
      <w:instrText xml:space="preserve"> PAGE   \* MERGEFORMAT </w:instrText>
    </w:r>
    <w:r>
      <w:fldChar w:fldCharType="separate"/>
    </w:r>
    <w:r w:rsidR="00DA1648">
      <w:rPr>
        <w:noProof/>
      </w:rPr>
      <w:t>3</w:t>
    </w:r>
    <w:r>
      <w:fldChar w:fldCharType="end"/>
    </w:r>
    <w:r>
      <w:t xml:space="preserve"> | </w:t>
    </w:r>
    <w:r>
      <w:rPr>
        <w:color w:val="7F7F7F"/>
        <w:spacing w:val="60"/>
      </w:rPr>
      <w:t>Page</w:t>
    </w:r>
  </w:p>
  <w:p w:rsidR="0074428D" w:rsidRDefault="007442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9FA" w:rsidRDefault="00FE59FA" w:rsidP="009A7C59">
      <w:pPr>
        <w:spacing w:after="0" w:line="240" w:lineRule="auto"/>
      </w:pPr>
      <w:r>
        <w:separator/>
      </w:r>
    </w:p>
  </w:footnote>
  <w:footnote w:type="continuationSeparator" w:id="0">
    <w:p w:rsidR="00FE59FA" w:rsidRDefault="00FE59FA" w:rsidP="009A7C59">
      <w:pPr>
        <w:spacing w:after="0" w:line="240" w:lineRule="auto"/>
      </w:pPr>
      <w:r>
        <w:continuationSeparator/>
      </w:r>
    </w:p>
  </w:footnote>
  <w:footnote w:id="1">
    <w:p w:rsidR="0074428D" w:rsidRDefault="0074428D" w:rsidP="009A7C59">
      <w:pPr>
        <w:pStyle w:val="FootnoteText"/>
      </w:pPr>
      <w:r>
        <w:rPr>
          <w:rStyle w:val="FootnoteReference"/>
        </w:rPr>
        <w:footnoteRef/>
      </w:r>
      <w:r>
        <w:t xml:space="preserve"> United States Census Bureau, </w:t>
      </w:r>
      <w:hyperlink r:id="rId1" w:history="1">
        <w:r w:rsidRPr="00B9530D">
          <w:rPr>
            <w:rStyle w:val="Hyperlink"/>
          </w:rPr>
          <w:t>http://quickfacts.census.gov/qfd/states/32000.html</w:t>
        </w:r>
      </w:hyperlink>
      <w:r>
        <w:t xml:space="preserve"> </w:t>
      </w:r>
    </w:p>
  </w:footnote>
  <w:footnote w:id="2">
    <w:p w:rsidR="0074428D" w:rsidRDefault="0074428D">
      <w:pPr>
        <w:pStyle w:val="FootnoteText"/>
      </w:pPr>
      <w:r>
        <w:rPr>
          <w:rStyle w:val="FootnoteReference"/>
        </w:rPr>
        <w:footnoteRef/>
      </w:r>
      <w:r>
        <w:t xml:space="preserve"> </w:t>
      </w:r>
      <w:smartTag w:uri="urn:schemas-microsoft-com:office:smarttags" w:element="country-region">
        <w:smartTag w:uri="urn:schemas-microsoft-com:office:smarttags" w:element="place">
          <w:r>
            <w:t>U.S.</w:t>
          </w:r>
        </w:smartTag>
      </w:smartTag>
      <w:r>
        <w:t xml:space="preserve"> Census, American Community Survey</w:t>
      </w:r>
    </w:p>
  </w:footnote>
  <w:footnote w:id="3">
    <w:p w:rsidR="0074428D" w:rsidRDefault="0074428D">
      <w:pPr>
        <w:pStyle w:val="FootnoteText"/>
      </w:pPr>
      <w:r>
        <w:rPr>
          <w:rStyle w:val="FootnoteReference"/>
        </w:rPr>
        <w:footnoteRef/>
      </w:r>
      <w:r>
        <w:t xml:space="preserve"> Kids Count</w:t>
      </w:r>
    </w:p>
  </w:footnote>
  <w:footnote w:id="4">
    <w:p w:rsidR="0074428D" w:rsidRDefault="0074428D">
      <w:pPr>
        <w:pStyle w:val="FootnoteText"/>
      </w:pPr>
      <w:r>
        <w:rPr>
          <w:rStyle w:val="FootnoteReference"/>
        </w:rPr>
        <w:footnoteRef/>
      </w:r>
      <w:r>
        <w:t xml:space="preserve"> Urban institute, Welfare Rules Databook</w:t>
      </w:r>
    </w:p>
  </w:footnote>
  <w:footnote w:id="5">
    <w:p w:rsidR="0074428D" w:rsidRDefault="0074428D">
      <w:pPr>
        <w:pStyle w:val="FootnoteText"/>
      </w:pPr>
      <w:r>
        <w:rPr>
          <w:rStyle w:val="FootnoteReference"/>
        </w:rPr>
        <w:footnoteRef/>
      </w:r>
      <w:r>
        <w:t xml:space="preserve"> </w:t>
      </w:r>
      <w:smartTag w:uri="urn:schemas-microsoft-com:office:smarttags" w:element="country-region">
        <w:smartTag w:uri="urn:schemas-microsoft-com:office:smarttags" w:element="place">
          <w:r>
            <w:t>U.S.</w:t>
          </w:r>
        </w:smartTag>
      </w:smartTag>
      <w:r>
        <w:t xml:space="preserve"> Dept. of Health and Human Services, Administration for Children and Families, Office of Family Assistance</w:t>
      </w:r>
    </w:p>
  </w:footnote>
  <w:footnote w:id="6">
    <w:p w:rsidR="0074428D" w:rsidRDefault="0074428D" w:rsidP="006427A9">
      <w:pPr>
        <w:pStyle w:val="FootnoteText"/>
      </w:pPr>
      <w:r>
        <w:rPr>
          <w:rStyle w:val="FootnoteReference"/>
        </w:rPr>
        <w:footnoteRef/>
      </w:r>
      <w:r>
        <w:t xml:space="preserve"> 10 fastest-growing states, CNN Money, </w:t>
      </w:r>
      <w:hyperlink r:id="rId2" w:history="1">
        <w:r w:rsidRPr="009814F9">
          <w:rPr>
            <w:rStyle w:val="Hyperlink"/>
          </w:rPr>
          <w:t>http://money.cnn.com/galleries/2010/pf/1012/gallery.fastest_growing_states/</w:t>
        </w:r>
      </w:hyperlink>
      <w:r>
        <w:t xml:space="preserve"> </w:t>
      </w:r>
    </w:p>
  </w:footnote>
  <w:footnote w:id="7">
    <w:p w:rsidR="0074428D" w:rsidRDefault="0074428D" w:rsidP="006427A9">
      <w:pPr>
        <w:pStyle w:val="FootnoteText"/>
      </w:pPr>
      <w:r>
        <w:rPr>
          <w:rStyle w:val="FootnoteReference"/>
        </w:rPr>
        <w:footnoteRef/>
      </w:r>
      <w:r>
        <w:t xml:space="preserve"> </w:t>
      </w:r>
      <w:hyperlink r:id="rId3" w:history="1">
        <w:r w:rsidRPr="009814F9">
          <w:rPr>
            <w:rStyle w:val="Hyperlink"/>
          </w:rPr>
          <w:t>http://vegasinc.com/business/tourism/2013/sep/11/nevadas-foreclosure-rate-back-highest-us-report-sa/</w:t>
        </w:r>
      </w:hyperlink>
      <w:r>
        <w:t xml:space="preserve"> </w:t>
      </w:r>
    </w:p>
  </w:footnote>
  <w:footnote w:id="8">
    <w:p w:rsidR="0074428D" w:rsidRDefault="0074428D" w:rsidP="006427A9">
      <w:pPr>
        <w:autoSpaceDE w:val="0"/>
        <w:autoSpaceDN w:val="0"/>
        <w:adjustRightInd w:val="0"/>
        <w:spacing w:after="0" w:line="240" w:lineRule="auto"/>
      </w:pPr>
      <w:r>
        <w:rPr>
          <w:rStyle w:val="FootnoteReference"/>
        </w:rPr>
        <w:footnoteRef/>
      </w:r>
      <w:r>
        <w:t xml:space="preserve"> </w:t>
      </w:r>
      <w:hyperlink r:id="rId4" w:history="1">
        <w:r w:rsidRPr="009814F9">
          <w:rPr>
            <w:rStyle w:val="Hyperlink"/>
            <w:rFonts w:ascii="Arial" w:hAnsi="Arial" w:cs="Arial"/>
            <w:sz w:val="18"/>
            <w:szCs w:val="18"/>
          </w:rPr>
          <w:t>http://www.nevadaworkforce.com/</w:t>
        </w:r>
      </w:hyperlink>
      <w:r>
        <w:rPr>
          <w:rFonts w:ascii="Arial" w:hAnsi="Arial" w:cs="Arial"/>
          <w:color w:val="0070C1"/>
          <w:sz w:val="18"/>
          <w:szCs w:val="18"/>
        </w:rPr>
        <w:t xml:space="preserve"> </w:t>
      </w:r>
    </w:p>
  </w:footnote>
  <w:footnote w:id="9">
    <w:p w:rsidR="0074428D" w:rsidRDefault="0074428D" w:rsidP="006427A9">
      <w:pPr>
        <w:pStyle w:val="FootnoteText"/>
      </w:pPr>
      <w:r>
        <w:rPr>
          <w:rStyle w:val="FootnoteReference"/>
        </w:rPr>
        <w:footnoteRef/>
      </w:r>
      <w:r>
        <w:t xml:space="preserve"> ibid</w:t>
      </w:r>
    </w:p>
  </w:footnote>
  <w:footnote w:id="10">
    <w:p w:rsidR="0074428D" w:rsidRDefault="0074428D" w:rsidP="006427A9">
      <w:pPr>
        <w:pStyle w:val="FootnoteText"/>
      </w:pPr>
      <w:r>
        <w:rPr>
          <w:rStyle w:val="FootnoteReference"/>
        </w:rPr>
        <w:footnoteRef/>
      </w:r>
      <w:r>
        <w:t xml:space="preserve"> </w:t>
      </w:r>
      <w:hyperlink r:id="rId5" w:history="1">
        <w:r w:rsidRPr="008C5B87">
          <w:rPr>
            <w:rStyle w:val="Hyperlink"/>
          </w:rPr>
          <w:t>http://www.culinaryunion226.org/</w:t>
        </w:r>
      </w:hyperlink>
      <w:r>
        <w:t xml:space="preserve"> </w:t>
      </w:r>
    </w:p>
  </w:footnote>
  <w:footnote w:id="11">
    <w:p w:rsidR="0074428D" w:rsidRDefault="0074428D" w:rsidP="006427A9">
      <w:pPr>
        <w:pStyle w:val="FootnoteText"/>
      </w:pPr>
      <w:r>
        <w:rPr>
          <w:rStyle w:val="FootnoteReference"/>
        </w:rPr>
        <w:footnoteRef/>
      </w:r>
      <w:r>
        <w:t xml:space="preserve"> </w:t>
      </w:r>
      <w:hyperlink r:id="rId6" w:history="1">
        <w:r w:rsidRPr="009814F9">
          <w:rPr>
            <w:rStyle w:val="Hyperlink"/>
          </w:rPr>
          <w:t>http://www.newsmax.com/FastFeatures/industries-nevada-economy/2015/04/14/id/638269/</w:t>
        </w:r>
      </w:hyperlink>
      <w:r>
        <w:t xml:space="preserve"> NOTE: This article did not include the health care industry among the top five in </w:t>
      </w:r>
      <w:smartTag w:uri="urn:schemas-microsoft-com:office:smarttags" w:element="place">
        <w:smartTag w:uri="urn:schemas-microsoft-com:office:smarttags" w:element="State">
          <w:r>
            <w:t>Nevada</w:t>
          </w:r>
        </w:smartTag>
      </w:smartTag>
      <w:r>
        <w:t xml:space="preserve">, although employment numbers are higher than both mining and aerospace. </w:t>
      </w:r>
    </w:p>
  </w:footnote>
  <w:footnote w:id="12">
    <w:p w:rsidR="0074428D" w:rsidRDefault="0074428D" w:rsidP="006427A9">
      <w:pPr>
        <w:pStyle w:val="FootnoteText"/>
      </w:pPr>
      <w:r>
        <w:rPr>
          <w:rStyle w:val="FootnoteReference"/>
        </w:rPr>
        <w:footnoteRef/>
      </w:r>
      <w:r>
        <w:t xml:space="preserve"> </w:t>
      </w:r>
      <w:smartTag w:uri="urn:schemas-microsoft-com:office:smarttags" w:element="PlaceName">
        <w:smartTag w:uri="urn:schemas-microsoft-com:office:smarttags" w:element="place">
          <w:r>
            <w:t>Silver</w:t>
          </w:r>
        </w:smartTag>
        <w:r>
          <w:t xml:space="preserve"> </w:t>
        </w:r>
        <w:smartTag w:uri="urn:schemas-microsoft-com:office:smarttags" w:element="PlaceType">
          <w:r>
            <w:t>State</w:t>
          </w:r>
        </w:smartTag>
      </w:smartTag>
      <w:r>
        <w:t xml:space="preserve"> Solutions, Health Care Sector 2015, Nevada Department of Employment, Training and Rehabilitation.</w:t>
      </w:r>
    </w:p>
  </w:footnote>
  <w:footnote w:id="13">
    <w:p w:rsidR="0074428D" w:rsidRDefault="0074428D">
      <w:pPr>
        <w:pStyle w:val="FootnoteText"/>
      </w:pPr>
      <w:r>
        <w:rPr>
          <w:rStyle w:val="FootnoteReference"/>
        </w:rPr>
        <w:footnoteRef/>
      </w:r>
      <w:r>
        <w:t xml:space="preserve"> </w:t>
      </w:r>
      <w:smartTag w:uri="urn:schemas-microsoft-com:office:smarttags" w:element="place">
        <w:smartTag w:uri="urn:schemas-microsoft-com:office:smarttags" w:element="country-region">
          <w:r>
            <w:t>U.S.</w:t>
          </w:r>
        </w:smartTag>
      </w:smartTag>
      <w:r>
        <w:t xml:space="preserve"> Dept. of Health and Human Services, Administration for Children and Families</w:t>
      </w:r>
    </w:p>
  </w:footnote>
  <w:footnote w:id="14">
    <w:p w:rsidR="0074428D" w:rsidRDefault="0074428D">
      <w:pPr>
        <w:pStyle w:val="FootnoteText"/>
      </w:pPr>
      <w:r>
        <w:rPr>
          <w:rStyle w:val="FootnoteReference"/>
        </w:rPr>
        <w:footnoteRef/>
      </w:r>
      <w:r>
        <w:t xml:space="preserve"> </w:t>
      </w:r>
      <w:smartTag w:uri="urn:schemas-microsoft-com:office:smarttags" w:element="place">
        <w:smartTag w:uri="urn:schemas-microsoft-com:office:smarttags" w:element="country-region">
          <w:r>
            <w:t>U.S.</w:t>
          </w:r>
        </w:smartTag>
      </w:smartTag>
      <w:r>
        <w:t xml:space="preserve"> Census, American Community Survey</w:t>
      </w:r>
    </w:p>
  </w:footnote>
  <w:footnote w:id="15">
    <w:p w:rsidR="0074428D" w:rsidRDefault="0074428D">
      <w:pPr>
        <w:pStyle w:val="FootnoteText"/>
      </w:pPr>
      <w:r>
        <w:rPr>
          <w:rStyle w:val="FootnoteReference"/>
        </w:rPr>
        <w:footnoteRef/>
      </w:r>
      <w:r>
        <w:t xml:space="preserve"> ibid</w:t>
      </w:r>
    </w:p>
  </w:footnote>
  <w:footnote w:id="16">
    <w:p w:rsidR="0074428D" w:rsidRDefault="0074428D">
      <w:pPr>
        <w:pStyle w:val="FootnoteText"/>
      </w:pPr>
      <w:r>
        <w:rPr>
          <w:rStyle w:val="FootnoteReference"/>
        </w:rPr>
        <w:footnoteRef/>
      </w:r>
      <w:r>
        <w:t xml:space="preserve"> Kids Count</w:t>
      </w:r>
    </w:p>
  </w:footnote>
  <w:footnote w:id="17">
    <w:p w:rsidR="0074428D" w:rsidRDefault="0074428D">
      <w:pPr>
        <w:pStyle w:val="FootnoteText"/>
      </w:pPr>
      <w:r>
        <w:rPr>
          <w:rStyle w:val="FootnoteReference"/>
        </w:rPr>
        <w:footnoteRef/>
      </w:r>
      <w:r>
        <w:t xml:space="preserve"> United Health </w:t>
      </w:r>
      <w:smartTag w:uri="urn:schemas-microsoft-com:office:smarttags" w:element="City">
        <w:smartTag w:uri="urn:schemas-microsoft-com:office:smarttags" w:element="place">
          <w:r>
            <w:t>Foundation</w:t>
          </w:r>
        </w:smartTag>
        <w:r>
          <w:t xml:space="preserve">, </w:t>
        </w:r>
        <w:smartTag w:uri="urn:schemas-microsoft-com:office:smarttags" w:element="country-region">
          <w:r>
            <w:t>America</w:t>
          </w:r>
        </w:smartTag>
      </w:smartTag>
      <w:r>
        <w:t>’s Health Rankings</w:t>
      </w:r>
    </w:p>
  </w:footnote>
  <w:footnote w:id="18">
    <w:p w:rsidR="0074428D" w:rsidRDefault="0074428D">
      <w:pPr>
        <w:pStyle w:val="FootnoteText"/>
      </w:pPr>
      <w:r>
        <w:rPr>
          <w:rStyle w:val="FootnoteReference"/>
        </w:rPr>
        <w:footnoteRef/>
      </w:r>
      <w:r>
        <w:t xml:space="preserve"> ibid</w:t>
      </w:r>
    </w:p>
  </w:footnote>
  <w:footnote w:id="19">
    <w:p w:rsidR="0074428D" w:rsidRDefault="0074428D">
      <w:pPr>
        <w:pStyle w:val="FootnoteText"/>
      </w:pPr>
      <w:r>
        <w:rPr>
          <w:rStyle w:val="FootnoteReference"/>
        </w:rPr>
        <w:footnoteRef/>
      </w:r>
      <w:r>
        <w:t xml:space="preserve"> Centers for Disease control and Prevention, Behavioral Risk Factor Surveillance System</w:t>
      </w:r>
    </w:p>
  </w:footnote>
  <w:footnote w:id="20">
    <w:p w:rsidR="0074428D" w:rsidRDefault="0074428D">
      <w:pPr>
        <w:pStyle w:val="FootnoteText"/>
      </w:pPr>
      <w:r>
        <w:rPr>
          <w:rStyle w:val="FootnoteReference"/>
        </w:rPr>
        <w:footnoteRef/>
      </w:r>
      <w:r>
        <w:t xml:space="preserve"> SAMHSA, Substance Abuse and Mental Health Services</w:t>
      </w:r>
    </w:p>
  </w:footnote>
  <w:footnote w:id="21">
    <w:p w:rsidR="0074428D" w:rsidRDefault="0074428D">
      <w:pPr>
        <w:pStyle w:val="FootnoteText"/>
      </w:pPr>
      <w:r>
        <w:rPr>
          <w:rStyle w:val="FootnoteReference"/>
        </w:rPr>
        <w:footnoteRef/>
      </w:r>
      <w:r>
        <w:t xml:space="preserve"> United Health </w:t>
      </w:r>
      <w:smartTag w:uri="urn:schemas-microsoft-com:office:smarttags" w:element="City">
        <w:smartTag w:uri="urn:schemas-microsoft-com:office:smarttags" w:element="place">
          <w:r>
            <w:t>Foundation</w:t>
          </w:r>
        </w:smartTag>
        <w:r>
          <w:t xml:space="preserve">, </w:t>
        </w:r>
        <w:smartTag w:uri="urn:schemas-microsoft-com:office:smarttags" w:element="country-region">
          <w:r>
            <w:t>America</w:t>
          </w:r>
        </w:smartTag>
      </w:smartTag>
      <w:r>
        <w:t>’s Health Rankings</w:t>
      </w:r>
    </w:p>
  </w:footnote>
  <w:footnote w:id="22">
    <w:p w:rsidR="0074428D" w:rsidRDefault="0074428D">
      <w:pPr>
        <w:pStyle w:val="FootnoteText"/>
      </w:pPr>
      <w:r>
        <w:rPr>
          <w:rStyle w:val="FootnoteReference"/>
        </w:rPr>
        <w:footnoteRef/>
      </w:r>
      <w:r>
        <w:t xml:space="preserve"> ibid</w:t>
      </w:r>
    </w:p>
  </w:footnote>
  <w:footnote w:id="23">
    <w:p w:rsidR="0074428D" w:rsidRDefault="0074428D">
      <w:pPr>
        <w:pStyle w:val="FootnoteText"/>
      </w:pPr>
      <w:r>
        <w:rPr>
          <w:rStyle w:val="FootnoteReference"/>
        </w:rPr>
        <w:footnoteRef/>
      </w:r>
      <w:r>
        <w:t xml:space="preserve"> Centers for Disease Control and Prevention, Behavioral Risk Factor Surveillance System</w:t>
      </w:r>
    </w:p>
  </w:footnote>
  <w:footnote w:id="24">
    <w:p w:rsidR="0074428D" w:rsidRDefault="0074428D">
      <w:pPr>
        <w:pStyle w:val="FootnoteText"/>
      </w:pPr>
      <w:r>
        <w:rPr>
          <w:rStyle w:val="FootnoteReference"/>
        </w:rPr>
        <w:footnoteRef/>
      </w:r>
      <w:r>
        <w:t xml:space="preserve"> United Health </w:t>
      </w:r>
      <w:smartTag w:uri="urn:schemas-microsoft-com:office:smarttags" w:element="City">
        <w:smartTag w:uri="urn:schemas-microsoft-com:office:smarttags" w:element="place">
          <w:r>
            <w:t>Foundation</w:t>
          </w:r>
        </w:smartTag>
        <w:r>
          <w:t xml:space="preserve">, </w:t>
        </w:r>
        <w:smartTag w:uri="urn:schemas-microsoft-com:office:smarttags" w:element="country-region">
          <w:r>
            <w:t>America</w:t>
          </w:r>
        </w:smartTag>
      </w:smartTag>
      <w:r>
        <w:t>’s Health Rankings</w:t>
      </w:r>
    </w:p>
  </w:footnote>
  <w:footnote w:id="25">
    <w:p w:rsidR="0074428D" w:rsidRDefault="0074428D">
      <w:pPr>
        <w:pStyle w:val="FootnoteText"/>
      </w:pPr>
      <w:r>
        <w:rPr>
          <w:rStyle w:val="FootnoteReference"/>
        </w:rPr>
        <w:footnoteRef/>
      </w:r>
      <w:r>
        <w:t xml:space="preserve"> </w:t>
      </w:r>
      <w:smartTag w:uri="urn:schemas-microsoft-com:office:smarttags" w:element="place">
        <w:smartTag w:uri="urn:schemas-microsoft-com:office:smarttags" w:element="country-region">
          <w:r>
            <w:t>U.S.</w:t>
          </w:r>
        </w:smartTag>
      </w:smartTag>
      <w:r>
        <w:t xml:space="preserve"> Dept. of Health and Human Services, Agency for Healthcare Research and Quality</w:t>
      </w:r>
    </w:p>
  </w:footnote>
  <w:footnote w:id="26">
    <w:p w:rsidR="0074428D" w:rsidRDefault="0074428D">
      <w:pPr>
        <w:pStyle w:val="FootnoteText"/>
      </w:pPr>
      <w:r>
        <w:rPr>
          <w:rStyle w:val="FootnoteReference"/>
        </w:rPr>
        <w:footnoteRef/>
      </w:r>
      <w:r>
        <w:t xml:space="preserve"> Grading the States 2009</w:t>
      </w:r>
    </w:p>
  </w:footnote>
  <w:footnote w:id="27">
    <w:p w:rsidR="0074428D" w:rsidRDefault="0074428D">
      <w:pPr>
        <w:pStyle w:val="FootnoteText"/>
      </w:pPr>
      <w:r>
        <w:rPr>
          <w:rStyle w:val="FootnoteReference"/>
        </w:rPr>
        <w:footnoteRef/>
      </w:r>
      <w:r>
        <w:t xml:space="preserve"> Centers for Disease Control and Prevention, </w:t>
      </w:r>
      <w:smartTag w:uri="urn:schemas-microsoft-com:office:smarttags" w:element="PlaceName">
        <w:smartTag w:uri="urn:schemas-microsoft-com:office:smarttags" w:element="place">
          <w:r>
            <w:t>National</w:t>
          </w:r>
        </w:smartTag>
        <w:r>
          <w:t xml:space="preserve"> </w:t>
        </w:r>
        <w:smartTag w:uri="urn:schemas-microsoft-com:office:smarttags" w:element="PlaceType">
          <w:r>
            <w:t>Center</w:t>
          </w:r>
        </w:smartTag>
      </w:smartTag>
      <w:r>
        <w:t xml:space="preserve"> for Injury Prevention and Control</w:t>
      </w:r>
    </w:p>
  </w:footnote>
  <w:footnote w:id="28">
    <w:p w:rsidR="0074428D" w:rsidRDefault="0074428D">
      <w:pPr>
        <w:pStyle w:val="FootnoteText"/>
      </w:pPr>
      <w:r>
        <w:rPr>
          <w:rStyle w:val="FootnoteReference"/>
        </w:rPr>
        <w:footnoteRef/>
      </w:r>
      <w:r>
        <w:t xml:space="preserve"> Kaiser Family Foundation, State Health Facts</w:t>
      </w:r>
    </w:p>
  </w:footnote>
  <w:footnote w:id="29">
    <w:p w:rsidR="0074428D" w:rsidRDefault="0074428D">
      <w:pPr>
        <w:pStyle w:val="FootnoteText"/>
      </w:pPr>
      <w:r>
        <w:rPr>
          <w:rStyle w:val="FootnoteReference"/>
        </w:rPr>
        <w:footnoteRef/>
      </w:r>
      <w:r>
        <w:t xml:space="preserve"> </w:t>
      </w:r>
      <w:smartTag w:uri="urn:schemas-microsoft-com:office:smarttags" w:element="place">
        <w:smartTag w:uri="urn:schemas-microsoft-com:office:smarttags" w:element="country-region">
          <w:r>
            <w:t>U.S.</w:t>
          </w:r>
        </w:smartTag>
      </w:smartTag>
      <w:r>
        <w:t xml:space="preserve"> Census, American Community Survey</w:t>
      </w:r>
    </w:p>
  </w:footnote>
  <w:footnote w:id="30">
    <w:p w:rsidR="0074428D" w:rsidRDefault="0074428D" w:rsidP="006A3CA5">
      <w:pPr>
        <w:spacing w:after="0" w:line="240" w:lineRule="auto"/>
      </w:pPr>
      <w:r>
        <w:rPr>
          <w:rStyle w:val="FootnoteReference"/>
        </w:rPr>
        <w:footnoteRef/>
      </w:r>
      <w:r>
        <w:t xml:space="preserve"> </w:t>
      </w:r>
      <w:hyperlink r:id="rId7" w:history="1">
        <w:r w:rsidRPr="00791E35">
          <w:rPr>
            <w:rStyle w:val="Hyperlink"/>
            <w:sz w:val="24"/>
            <w:szCs w:val="24"/>
          </w:rPr>
          <w:t>http://www.shadac.org/publications/state-level-trends-childrens-health-insurance-coverage-2016-report</w:t>
        </w:r>
      </w:hyperlink>
      <w:r>
        <w:rPr>
          <w:sz w:val="24"/>
          <w:szCs w:val="24"/>
        </w:rPr>
        <w:t xml:space="preserve"> </w:t>
      </w:r>
    </w:p>
  </w:footnote>
  <w:footnote w:id="31">
    <w:p w:rsidR="0074428D" w:rsidRDefault="0074428D" w:rsidP="0082317C">
      <w:pPr>
        <w:pStyle w:val="FootnoteText"/>
      </w:pPr>
      <w:r>
        <w:rPr>
          <w:rStyle w:val="FootnoteReference"/>
        </w:rPr>
        <w:footnoteRef/>
      </w:r>
      <w:r>
        <w:t xml:space="preserve"> National Association of State Budget Officers, State Expenditure Report; </w:t>
      </w:r>
      <w:smartTag w:uri="urn:schemas-microsoft-com:office:smarttags" w:element="place">
        <w:smartTag w:uri="urn:schemas-microsoft-com:office:smarttags" w:element="country-region">
          <w:r>
            <w:t>U.S.</w:t>
          </w:r>
        </w:smartTag>
      </w:smartTag>
      <w:r>
        <w:t xml:space="preserve"> Census, Annual Population Estimates.</w:t>
      </w:r>
    </w:p>
  </w:footnote>
  <w:footnote w:id="32">
    <w:p w:rsidR="0074428D" w:rsidRDefault="0074428D" w:rsidP="0082317C">
      <w:pPr>
        <w:pStyle w:val="FootnoteText"/>
      </w:pPr>
      <w:r>
        <w:rPr>
          <w:rStyle w:val="FootnoteReference"/>
        </w:rPr>
        <w:footnoteRef/>
      </w:r>
      <w:r>
        <w:t xml:space="preserve"> </w:t>
      </w:r>
      <w:hyperlink r:id="rId8" w:history="1">
        <w:r w:rsidRPr="00BC00DB">
          <w:rPr>
            <w:rStyle w:val="Hyperlink"/>
          </w:rPr>
          <w:t>https://www.healthinsurance.org/nevada/</w:t>
        </w:r>
      </w:hyperlink>
      <w:r>
        <w:t xml:space="preserve"> , </w:t>
      </w:r>
      <w:smartTag w:uri="urn:schemas-microsoft-com:office:smarttags" w:element="date">
        <w:smartTagPr>
          <w:attr w:name="Month" w:val="12"/>
          <w:attr w:name="Day" w:val="3"/>
          <w:attr w:name="Year" w:val="2015"/>
        </w:smartTagPr>
        <w:r>
          <w:t>December 3, 2015</w:t>
        </w:r>
      </w:smartTag>
    </w:p>
  </w:footnote>
  <w:footnote w:id="33">
    <w:p w:rsidR="0074428D" w:rsidRDefault="0074428D">
      <w:pPr>
        <w:pStyle w:val="FootnoteText"/>
      </w:pPr>
      <w:r>
        <w:rPr>
          <w:rStyle w:val="FootnoteReference"/>
        </w:rPr>
        <w:footnoteRef/>
      </w:r>
      <w:r>
        <w:t xml:space="preserve"> </w:t>
      </w:r>
      <w:smartTag w:uri="urn:schemas-microsoft-com:office:smarttags" w:element="place">
        <w:smartTag w:uri="urn:schemas-microsoft-com:office:smarttags" w:element="State">
          <w:r>
            <w:t>Nevada</w:t>
          </w:r>
        </w:smartTag>
      </w:smartTag>
      <w:r>
        <w:t xml:space="preserve"> Medicaid Fact Book, 2015</w:t>
      </w:r>
    </w:p>
  </w:footnote>
  <w:footnote w:id="34">
    <w:p w:rsidR="0074428D" w:rsidRDefault="0074428D">
      <w:pPr>
        <w:pStyle w:val="FootnoteText"/>
      </w:pPr>
      <w:r>
        <w:rPr>
          <w:rStyle w:val="FootnoteReference"/>
        </w:rPr>
        <w:footnoteRef/>
      </w:r>
      <w:r>
        <w:t xml:space="preserve"> Kaiser Family Foundation, State Health Facts</w:t>
      </w:r>
    </w:p>
  </w:footnote>
  <w:footnote w:id="35">
    <w:p w:rsidR="0074428D" w:rsidRDefault="0074428D">
      <w:pPr>
        <w:pStyle w:val="FootnoteText"/>
      </w:pPr>
      <w:r>
        <w:rPr>
          <w:rStyle w:val="FootnoteReference"/>
        </w:rPr>
        <w:footnoteRef/>
      </w:r>
      <w:r>
        <w:t xml:space="preserve"> Medicaid Expenditures for Long-Term Services and Supports (LTSS) in FY2013, Truven Health Analytics</w:t>
      </w:r>
    </w:p>
  </w:footnote>
  <w:footnote w:id="36">
    <w:p w:rsidR="0074428D" w:rsidRDefault="0074428D">
      <w:pPr>
        <w:pStyle w:val="FootnoteText"/>
      </w:pPr>
      <w:r>
        <w:rPr>
          <w:rStyle w:val="FootnoteReference"/>
        </w:rPr>
        <w:footnoteRef/>
      </w:r>
      <w:r>
        <w:t xml:space="preserve"> Available online at </w:t>
      </w:r>
      <w:hyperlink r:id="rId9" w:history="1">
        <w:r w:rsidRPr="00102547">
          <w:rPr>
            <w:rStyle w:val="Hyperlink"/>
          </w:rPr>
          <w:t>http://dpbh.staging.nv.gov/Programs/TitleV/dta/Publications/TitleV_-_Publications/</w:t>
        </w:r>
      </w:hyperlink>
      <w:r>
        <w:t xml:space="preserve"> as part of the Title V Block Grant publication.</w:t>
      </w:r>
    </w:p>
  </w:footnote>
  <w:footnote w:id="37">
    <w:p w:rsidR="0074428D" w:rsidRDefault="0074428D">
      <w:pPr>
        <w:pStyle w:val="FootnoteText"/>
      </w:pPr>
      <w:r>
        <w:rPr>
          <w:rStyle w:val="FootnoteReference"/>
        </w:rPr>
        <w:footnoteRef/>
      </w:r>
      <w:r>
        <w:t xml:space="preserve"> Contraceptive Needs and Services, 2013, Guttmacher Institute, July 2015</w:t>
      </w:r>
    </w:p>
  </w:footnote>
  <w:footnote w:id="38">
    <w:p w:rsidR="0074428D" w:rsidRDefault="0074428D">
      <w:pPr>
        <w:pStyle w:val="FootnoteText"/>
      </w:pPr>
      <w:r>
        <w:rPr>
          <w:rStyle w:val="FootnoteReference"/>
        </w:rPr>
        <w:footnoteRef/>
      </w:r>
      <w:r>
        <w:t xml:space="preserve"> Published by the Association of American Medical Colleges, </w:t>
      </w:r>
      <w:hyperlink r:id="rId10" w:history="1">
        <w:r w:rsidRPr="009814F9">
          <w:rPr>
            <w:rStyle w:val="Hyperlink"/>
          </w:rPr>
          <w:t>https://www.aamc.org/data/</w:t>
        </w:r>
      </w:hyperlink>
      <w:r>
        <w:t xml:space="preserve"> </w:t>
      </w:r>
    </w:p>
  </w:footnote>
  <w:footnote w:id="39">
    <w:p w:rsidR="0074428D" w:rsidRDefault="0074428D">
      <w:pPr>
        <w:pStyle w:val="FootnoteText"/>
      </w:pPr>
      <w:r>
        <w:rPr>
          <w:rStyle w:val="FootnoteReference"/>
        </w:rPr>
        <w:footnoteRef/>
      </w:r>
      <w:r>
        <w:t xml:space="preserve"> Published by the American Dental Association, 2015, </w:t>
      </w:r>
      <w:hyperlink r:id="rId11" w:history="1">
        <w:r w:rsidRPr="009814F9">
          <w:rPr>
            <w:rStyle w:val="Hyperlink"/>
          </w:rPr>
          <w:t>http://www.ada.org/en/science-research/health-policy-institute/data-center/supply-of-dentists</w:t>
        </w:r>
      </w:hyperlink>
      <w:r>
        <w:t xml:space="preserve"> </w:t>
      </w:r>
    </w:p>
  </w:footnote>
  <w:footnote w:id="40">
    <w:p w:rsidR="0074428D" w:rsidRDefault="0074428D">
      <w:pPr>
        <w:pStyle w:val="FootnoteText"/>
      </w:pPr>
      <w:r>
        <w:rPr>
          <w:rStyle w:val="FootnoteReference"/>
        </w:rPr>
        <w:footnoteRef/>
      </w:r>
      <w:r>
        <w:t xml:space="preserve"> American Medical Association Master Files</w:t>
      </w:r>
    </w:p>
  </w:footnote>
  <w:footnote w:id="41">
    <w:p w:rsidR="0074428D" w:rsidRDefault="0074428D">
      <w:pPr>
        <w:pStyle w:val="FootnoteText"/>
      </w:pPr>
      <w:r>
        <w:rPr>
          <w:rStyle w:val="FootnoteReference"/>
        </w:rPr>
        <w:footnoteRef/>
      </w:r>
      <w:r>
        <w:t xml:space="preserve"> </w:t>
      </w:r>
      <w:hyperlink r:id="rId12" w:history="1">
        <w:r w:rsidRPr="00791E35">
          <w:rPr>
            <w:rStyle w:val="Hyperlink"/>
          </w:rPr>
          <w:t>http://medicine.nevada.edu/statewide/reports/data-book-2015</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28D" w:rsidRPr="001A3ACD" w:rsidRDefault="0074428D" w:rsidP="001A3ACD">
    <w:pPr>
      <w:pStyle w:val="Header"/>
      <w:jc w:val="center"/>
      <w:rPr>
        <w:sz w:val="36"/>
        <w:szCs w:val="36"/>
      </w:rPr>
    </w:pPr>
    <w:smartTag w:uri="urn:schemas-microsoft-com:office:smarttags" w:element="State">
      <w:smartTag w:uri="urn:schemas-microsoft-com:office:smarttags" w:element="place">
        <w:r w:rsidRPr="001A3ACD">
          <w:rPr>
            <w:sz w:val="36"/>
            <w:szCs w:val="36"/>
          </w:rPr>
          <w:t>Nevada</w:t>
        </w:r>
      </w:smartTag>
    </w:smartTag>
    <w:r w:rsidRPr="001A3ACD">
      <w:rPr>
        <w:sz w:val="36"/>
        <w:szCs w:val="36"/>
      </w:rPr>
      <w:t xml:space="preserve"> Primary Care Needs Assessment - 2016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28D" w:rsidRPr="006D357C" w:rsidRDefault="0074428D" w:rsidP="001A3ACD">
    <w:pPr>
      <w:pBdr>
        <w:top w:val="single" w:sz="4" w:space="1" w:color="auto"/>
        <w:left w:val="single" w:sz="4" w:space="4" w:color="auto"/>
        <w:bottom w:val="single" w:sz="4" w:space="1" w:color="auto"/>
        <w:right w:val="single" w:sz="4" w:space="4" w:color="auto"/>
      </w:pBdr>
      <w:spacing w:after="0" w:line="240" w:lineRule="auto"/>
      <w:jc w:val="center"/>
      <w:rPr>
        <w:b/>
        <w:sz w:val="24"/>
        <w:szCs w:val="24"/>
      </w:rPr>
    </w:pPr>
    <w:smartTag w:uri="urn:schemas-microsoft-com:office:smarttags" w:element="stockticker">
      <w:r w:rsidRPr="006D357C">
        <w:rPr>
          <w:b/>
          <w:sz w:val="24"/>
          <w:szCs w:val="24"/>
        </w:rPr>
        <w:t>NCC</w:t>
      </w:r>
    </w:smartTag>
    <w:r w:rsidRPr="006D357C">
      <w:rPr>
        <w:b/>
        <w:sz w:val="24"/>
        <w:szCs w:val="24"/>
      </w:rPr>
      <w:t xml:space="preserve">-U68 2016 State </w:t>
    </w:r>
    <w:r>
      <w:rPr>
        <w:b/>
        <w:sz w:val="24"/>
        <w:szCs w:val="24"/>
      </w:rPr>
      <w:t xml:space="preserve">Primary Care </w:t>
    </w:r>
    <w:r w:rsidRPr="006D357C">
      <w:rPr>
        <w:b/>
        <w:sz w:val="24"/>
        <w:szCs w:val="24"/>
      </w:rPr>
      <w:t>Needs Assessment</w:t>
    </w:r>
  </w:p>
  <w:p w:rsidR="0074428D" w:rsidRDefault="0074428D" w:rsidP="001A3AC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smartTag w:uri="urn:schemas-microsoft-com:office:smarttags" w:element="State">
      <w:smartTag w:uri="urn:schemas-microsoft-com:office:smarttags" w:element="place">
        <w:r w:rsidRPr="006D357C">
          <w:rPr>
            <w:sz w:val="24"/>
            <w:szCs w:val="24"/>
          </w:rPr>
          <w:t>Nevada</w:t>
        </w:r>
      </w:smartTag>
    </w:smartTag>
    <w:r w:rsidRPr="006D357C">
      <w:rPr>
        <w:sz w:val="24"/>
        <w:szCs w:val="24"/>
      </w:rPr>
      <w:t xml:space="preserve"> Primary Care Office</w:t>
    </w:r>
    <w:r>
      <w:rPr>
        <w:sz w:val="24"/>
        <w:szCs w:val="24"/>
      </w:rPr>
      <w:t>,</w:t>
    </w:r>
    <w:r w:rsidRPr="006D357C">
      <w:rPr>
        <w:sz w:val="24"/>
        <w:szCs w:val="24"/>
      </w:rPr>
      <w:t xml:space="preserve"> Division of Public and Behavioral Health</w:t>
    </w:r>
  </w:p>
  <w:p w:rsidR="0074428D" w:rsidRPr="006D357C" w:rsidRDefault="0074428D" w:rsidP="001A3AC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 xml:space="preserve">Grant No. U68HP11441 – Project Director Laura Hale </w:t>
    </w:r>
    <w:hyperlink r:id="rId1" w:history="1">
      <w:r w:rsidRPr="00761002">
        <w:rPr>
          <w:rStyle w:val="Hyperlink"/>
          <w:sz w:val="24"/>
          <w:szCs w:val="24"/>
        </w:rPr>
        <w:t>ljhale@health.nv.gov</w:t>
      </w:r>
    </w:hyperlink>
    <w:r>
      <w:rPr>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D3FB3"/>
    <w:multiLevelType w:val="hybridMultilevel"/>
    <w:tmpl w:val="CF0A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834F9"/>
    <w:multiLevelType w:val="hybridMultilevel"/>
    <w:tmpl w:val="ED2C6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84245"/>
    <w:multiLevelType w:val="hybridMultilevel"/>
    <w:tmpl w:val="47308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325131"/>
    <w:multiLevelType w:val="hybridMultilevel"/>
    <w:tmpl w:val="03C0581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19B86C92"/>
    <w:multiLevelType w:val="multilevel"/>
    <w:tmpl w:val="CA025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8B0CAB"/>
    <w:multiLevelType w:val="multilevel"/>
    <w:tmpl w:val="70EA4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B73527"/>
    <w:multiLevelType w:val="hybridMultilevel"/>
    <w:tmpl w:val="D4B0EFB4"/>
    <w:lvl w:ilvl="0" w:tplc="95C090CE">
      <w:start w:val="1"/>
      <w:numFmt w:val="bullet"/>
      <w:lvlText w:val=""/>
      <w:lvlJc w:val="left"/>
      <w:pPr>
        <w:tabs>
          <w:tab w:val="num" w:pos="720"/>
        </w:tabs>
        <w:ind w:left="720" w:hanging="360"/>
      </w:pPr>
      <w:rPr>
        <w:rFonts w:ascii="Wingdings" w:hAnsi="Wingdings" w:hint="default"/>
      </w:rPr>
    </w:lvl>
    <w:lvl w:ilvl="1" w:tplc="B8D66CCA" w:tentative="1">
      <w:start w:val="1"/>
      <w:numFmt w:val="bullet"/>
      <w:lvlText w:val=""/>
      <w:lvlJc w:val="left"/>
      <w:pPr>
        <w:tabs>
          <w:tab w:val="num" w:pos="1440"/>
        </w:tabs>
        <w:ind w:left="1440" w:hanging="360"/>
      </w:pPr>
      <w:rPr>
        <w:rFonts w:ascii="Wingdings" w:hAnsi="Wingdings" w:hint="default"/>
      </w:rPr>
    </w:lvl>
    <w:lvl w:ilvl="2" w:tplc="E1261F78" w:tentative="1">
      <w:start w:val="1"/>
      <w:numFmt w:val="bullet"/>
      <w:lvlText w:val=""/>
      <w:lvlJc w:val="left"/>
      <w:pPr>
        <w:tabs>
          <w:tab w:val="num" w:pos="2160"/>
        </w:tabs>
        <w:ind w:left="2160" w:hanging="360"/>
      </w:pPr>
      <w:rPr>
        <w:rFonts w:ascii="Wingdings" w:hAnsi="Wingdings" w:hint="default"/>
      </w:rPr>
    </w:lvl>
    <w:lvl w:ilvl="3" w:tplc="C13A757A" w:tentative="1">
      <w:start w:val="1"/>
      <w:numFmt w:val="bullet"/>
      <w:lvlText w:val=""/>
      <w:lvlJc w:val="left"/>
      <w:pPr>
        <w:tabs>
          <w:tab w:val="num" w:pos="2880"/>
        </w:tabs>
        <w:ind w:left="2880" w:hanging="360"/>
      </w:pPr>
      <w:rPr>
        <w:rFonts w:ascii="Wingdings" w:hAnsi="Wingdings" w:hint="default"/>
      </w:rPr>
    </w:lvl>
    <w:lvl w:ilvl="4" w:tplc="363023E6" w:tentative="1">
      <w:start w:val="1"/>
      <w:numFmt w:val="bullet"/>
      <w:lvlText w:val=""/>
      <w:lvlJc w:val="left"/>
      <w:pPr>
        <w:tabs>
          <w:tab w:val="num" w:pos="3600"/>
        </w:tabs>
        <w:ind w:left="3600" w:hanging="360"/>
      </w:pPr>
      <w:rPr>
        <w:rFonts w:ascii="Wingdings" w:hAnsi="Wingdings" w:hint="default"/>
      </w:rPr>
    </w:lvl>
    <w:lvl w:ilvl="5" w:tplc="ADBCB824" w:tentative="1">
      <w:start w:val="1"/>
      <w:numFmt w:val="bullet"/>
      <w:lvlText w:val=""/>
      <w:lvlJc w:val="left"/>
      <w:pPr>
        <w:tabs>
          <w:tab w:val="num" w:pos="4320"/>
        </w:tabs>
        <w:ind w:left="4320" w:hanging="360"/>
      </w:pPr>
      <w:rPr>
        <w:rFonts w:ascii="Wingdings" w:hAnsi="Wingdings" w:hint="default"/>
      </w:rPr>
    </w:lvl>
    <w:lvl w:ilvl="6" w:tplc="B41E5720" w:tentative="1">
      <w:start w:val="1"/>
      <w:numFmt w:val="bullet"/>
      <w:lvlText w:val=""/>
      <w:lvlJc w:val="left"/>
      <w:pPr>
        <w:tabs>
          <w:tab w:val="num" w:pos="5040"/>
        </w:tabs>
        <w:ind w:left="5040" w:hanging="360"/>
      </w:pPr>
      <w:rPr>
        <w:rFonts w:ascii="Wingdings" w:hAnsi="Wingdings" w:hint="default"/>
      </w:rPr>
    </w:lvl>
    <w:lvl w:ilvl="7" w:tplc="C27C93AE" w:tentative="1">
      <w:start w:val="1"/>
      <w:numFmt w:val="bullet"/>
      <w:lvlText w:val=""/>
      <w:lvlJc w:val="left"/>
      <w:pPr>
        <w:tabs>
          <w:tab w:val="num" w:pos="5760"/>
        </w:tabs>
        <w:ind w:left="5760" w:hanging="360"/>
      </w:pPr>
      <w:rPr>
        <w:rFonts w:ascii="Wingdings" w:hAnsi="Wingdings" w:hint="default"/>
      </w:rPr>
    </w:lvl>
    <w:lvl w:ilvl="8" w:tplc="DF2C1C2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A60B2C"/>
    <w:multiLevelType w:val="hybridMultilevel"/>
    <w:tmpl w:val="B098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D870A4"/>
    <w:multiLevelType w:val="hybridMultilevel"/>
    <w:tmpl w:val="23A27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2B369D"/>
    <w:multiLevelType w:val="multilevel"/>
    <w:tmpl w:val="C330A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6A75B8"/>
    <w:multiLevelType w:val="hybridMultilevel"/>
    <w:tmpl w:val="DFA68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4E6942"/>
    <w:multiLevelType w:val="hybridMultilevel"/>
    <w:tmpl w:val="A09AB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5B76E1"/>
    <w:multiLevelType w:val="hybridMultilevel"/>
    <w:tmpl w:val="C06EF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B119C2"/>
    <w:multiLevelType w:val="hybridMultilevel"/>
    <w:tmpl w:val="C0F02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80252D"/>
    <w:multiLevelType w:val="hybridMultilevel"/>
    <w:tmpl w:val="DB805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3E5498"/>
    <w:multiLevelType w:val="hybridMultilevel"/>
    <w:tmpl w:val="07860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687F4F"/>
    <w:multiLevelType w:val="hybridMultilevel"/>
    <w:tmpl w:val="A9BAB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7C38A3"/>
    <w:multiLevelType w:val="hybridMultilevel"/>
    <w:tmpl w:val="06B47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4"/>
  </w:num>
  <w:num w:numId="4">
    <w:abstractNumId w:val="5"/>
  </w:num>
  <w:num w:numId="5">
    <w:abstractNumId w:val="12"/>
  </w:num>
  <w:num w:numId="6">
    <w:abstractNumId w:val="7"/>
  </w:num>
  <w:num w:numId="7">
    <w:abstractNumId w:val="3"/>
  </w:num>
  <w:num w:numId="8">
    <w:abstractNumId w:val="17"/>
  </w:num>
  <w:num w:numId="9">
    <w:abstractNumId w:val="1"/>
  </w:num>
  <w:num w:numId="10">
    <w:abstractNumId w:val="2"/>
  </w:num>
  <w:num w:numId="11">
    <w:abstractNumId w:val="10"/>
  </w:num>
  <w:num w:numId="12">
    <w:abstractNumId w:val="16"/>
  </w:num>
  <w:num w:numId="13">
    <w:abstractNumId w:val="0"/>
  </w:num>
  <w:num w:numId="14">
    <w:abstractNumId w:val="11"/>
  </w:num>
  <w:num w:numId="15">
    <w:abstractNumId w:val="8"/>
  </w:num>
  <w:num w:numId="16">
    <w:abstractNumId w:val="14"/>
  </w:num>
  <w:num w:numId="17">
    <w:abstractNumId w:val="13"/>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B63"/>
    <w:rsid w:val="0000314D"/>
    <w:rsid w:val="0001156A"/>
    <w:rsid w:val="00014BD7"/>
    <w:rsid w:val="00015B63"/>
    <w:rsid w:val="00023658"/>
    <w:rsid w:val="00025017"/>
    <w:rsid w:val="000370C5"/>
    <w:rsid w:val="00037245"/>
    <w:rsid w:val="0004482E"/>
    <w:rsid w:val="00050915"/>
    <w:rsid w:val="00051B75"/>
    <w:rsid w:val="000520B6"/>
    <w:rsid w:val="0006391A"/>
    <w:rsid w:val="000774D3"/>
    <w:rsid w:val="000A1D1A"/>
    <w:rsid w:val="000A4102"/>
    <w:rsid w:val="000B31E7"/>
    <w:rsid w:val="000D04C3"/>
    <w:rsid w:val="000D7BC0"/>
    <w:rsid w:val="000E5D4D"/>
    <w:rsid w:val="00102547"/>
    <w:rsid w:val="00103AE4"/>
    <w:rsid w:val="00104BB5"/>
    <w:rsid w:val="00115FCC"/>
    <w:rsid w:val="001207B8"/>
    <w:rsid w:val="001248FB"/>
    <w:rsid w:val="00131619"/>
    <w:rsid w:val="0013600B"/>
    <w:rsid w:val="00142D11"/>
    <w:rsid w:val="00145C9B"/>
    <w:rsid w:val="001527EA"/>
    <w:rsid w:val="00153066"/>
    <w:rsid w:val="00161CF7"/>
    <w:rsid w:val="00167572"/>
    <w:rsid w:val="00180083"/>
    <w:rsid w:val="001A3ACD"/>
    <w:rsid w:val="001D76A5"/>
    <w:rsid w:val="00200763"/>
    <w:rsid w:val="00207203"/>
    <w:rsid w:val="00243FE5"/>
    <w:rsid w:val="00261B4D"/>
    <w:rsid w:val="00265A68"/>
    <w:rsid w:val="00275C20"/>
    <w:rsid w:val="0028241A"/>
    <w:rsid w:val="00287721"/>
    <w:rsid w:val="00292DE1"/>
    <w:rsid w:val="002954B2"/>
    <w:rsid w:val="002966D1"/>
    <w:rsid w:val="002A2C0E"/>
    <w:rsid w:val="002A783C"/>
    <w:rsid w:val="002B5A27"/>
    <w:rsid w:val="002B7823"/>
    <w:rsid w:val="002D0936"/>
    <w:rsid w:val="002D419C"/>
    <w:rsid w:val="002E4900"/>
    <w:rsid w:val="003156D9"/>
    <w:rsid w:val="00327BEF"/>
    <w:rsid w:val="003507B2"/>
    <w:rsid w:val="00354292"/>
    <w:rsid w:val="00354822"/>
    <w:rsid w:val="0036418F"/>
    <w:rsid w:val="00367725"/>
    <w:rsid w:val="003709FB"/>
    <w:rsid w:val="00380F42"/>
    <w:rsid w:val="00384175"/>
    <w:rsid w:val="00392814"/>
    <w:rsid w:val="003A6173"/>
    <w:rsid w:val="003B1899"/>
    <w:rsid w:val="003B7A92"/>
    <w:rsid w:val="003C605B"/>
    <w:rsid w:val="003D5099"/>
    <w:rsid w:val="003F10FC"/>
    <w:rsid w:val="003F4681"/>
    <w:rsid w:val="00404A7F"/>
    <w:rsid w:val="00412835"/>
    <w:rsid w:val="00436952"/>
    <w:rsid w:val="004435E2"/>
    <w:rsid w:val="00444EB8"/>
    <w:rsid w:val="00447EFD"/>
    <w:rsid w:val="004540A4"/>
    <w:rsid w:val="00475DF5"/>
    <w:rsid w:val="004775A7"/>
    <w:rsid w:val="00484B39"/>
    <w:rsid w:val="0048566F"/>
    <w:rsid w:val="0049062E"/>
    <w:rsid w:val="0049501C"/>
    <w:rsid w:val="004C4764"/>
    <w:rsid w:val="004C54CF"/>
    <w:rsid w:val="004C608E"/>
    <w:rsid w:val="004F230D"/>
    <w:rsid w:val="004F58CD"/>
    <w:rsid w:val="00501398"/>
    <w:rsid w:val="00506465"/>
    <w:rsid w:val="00511366"/>
    <w:rsid w:val="005127A0"/>
    <w:rsid w:val="00542E8F"/>
    <w:rsid w:val="0056213A"/>
    <w:rsid w:val="005767D6"/>
    <w:rsid w:val="00583AEF"/>
    <w:rsid w:val="00590B4A"/>
    <w:rsid w:val="005B40DD"/>
    <w:rsid w:val="005B568F"/>
    <w:rsid w:val="005E0CF5"/>
    <w:rsid w:val="005F2502"/>
    <w:rsid w:val="00624910"/>
    <w:rsid w:val="006427A9"/>
    <w:rsid w:val="00643EE3"/>
    <w:rsid w:val="006518ED"/>
    <w:rsid w:val="006542D4"/>
    <w:rsid w:val="006601F9"/>
    <w:rsid w:val="00664529"/>
    <w:rsid w:val="006763D9"/>
    <w:rsid w:val="00694E2C"/>
    <w:rsid w:val="0069584D"/>
    <w:rsid w:val="006A3CA5"/>
    <w:rsid w:val="006A72C5"/>
    <w:rsid w:val="006B1289"/>
    <w:rsid w:val="006B30AB"/>
    <w:rsid w:val="006B5714"/>
    <w:rsid w:val="006C1095"/>
    <w:rsid w:val="006D357C"/>
    <w:rsid w:val="006D3E1C"/>
    <w:rsid w:val="006D56B6"/>
    <w:rsid w:val="006E1A29"/>
    <w:rsid w:val="006E3056"/>
    <w:rsid w:val="0070423A"/>
    <w:rsid w:val="00727AAD"/>
    <w:rsid w:val="0074428D"/>
    <w:rsid w:val="007505DD"/>
    <w:rsid w:val="00760FAC"/>
    <w:rsid w:val="00761002"/>
    <w:rsid w:val="00764E33"/>
    <w:rsid w:val="00791E35"/>
    <w:rsid w:val="007A24FD"/>
    <w:rsid w:val="007A5493"/>
    <w:rsid w:val="007B0B05"/>
    <w:rsid w:val="007B226D"/>
    <w:rsid w:val="007B25D2"/>
    <w:rsid w:val="007C5991"/>
    <w:rsid w:val="007D4A8A"/>
    <w:rsid w:val="007D67D4"/>
    <w:rsid w:val="007E3927"/>
    <w:rsid w:val="007F66B5"/>
    <w:rsid w:val="00804777"/>
    <w:rsid w:val="00811941"/>
    <w:rsid w:val="00812D23"/>
    <w:rsid w:val="008207E4"/>
    <w:rsid w:val="0082317C"/>
    <w:rsid w:val="00826655"/>
    <w:rsid w:val="00827CB1"/>
    <w:rsid w:val="00846187"/>
    <w:rsid w:val="00850CF0"/>
    <w:rsid w:val="00857590"/>
    <w:rsid w:val="00870721"/>
    <w:rsid w:val="00874D61"/>
    <w:rsid w:val="00887C1B"/>
    <w:rsid w:val="008A5590"/>
    <w:rsid w:val="008B37FE"/>
    <w:rsid w:val="008C5B87"/>
    <w:rsid w:val="008E4F62"/>
    <w:rsid w:val="008F0520"/>
    <w:rsid w:val="0090505B"/>
    <w:rsid w:val="009102C8"/>
    <w:rsid w:val="00916AB0"/>
    <w:rsid w:val="00937106"/>
    <w:rsid w:val="00944C47"/>
    <w:rsid w:val="0095489E"/>
    <w:rsid w:val="00956CFC"/>
    <w:rsid w:val="00972042"/>
    <w:rsid w:val="00973BB7"/>
    <w:rsid w:val="0097493E"/>
    <w:rsid w:val="009814F9"/>
    <w:rsid w:val="00987E38"/>
    <w:rsid w:val="00994394"/>
    <w:rsid w:val="0099755A"/>
    <w:rsid w:val="009A2A77"/>
    <w:rsid w:val="009A714F"/>
    <w:rsid w:val="009A7C59"/>
    <w:rsid w:val="009A7C6E"/>
    <w:rsid w:val="009B0890"/>
    <w:rsid w:val="009B6404"/>
    <w:rsid w:val="00A01860"/>
    <w:rsid w:val="00A06299"/>
    <w:rsid w:val="00A114CE"/>
    <w:rsid w:val="00A11F29"/>
    <w:rsid w:val="00A22FFE"/>
    <w:rsid w:val="00A3097C"/>
    <w:rsid w:val="00A32EF4"/>
    <w:rsid w:val="00A332F4"/>
    <w:rsid w:val="00A361E3"/>
    <w:rsid w:val="00A5765D"/>
    <w:rsid w:val="00A57CBE"/>
    <w:rsid w:val="00A7379E"/>
    <w:rsid w:val="00A83B00"/>
    <w:rsid w:val="00AB3B88"/>
    <w:rsid w:val="00AC5743"/>
    <w:rsid w:val="00AE0BAC"/>
    <w:rsid w:val="00B015EB"/>
    <w:rsid w:val="00B01DA0"/>
    <w:rsid w:val="00B13747"/>
    <w:rsid w:val="00B37B94"/>
    <w:rsid w:val="00B4416D"/>
    <w:rsid w:val="00B668CB"/>
    <w:rsid w:val="00B9530D"/>
    <w:rsid w:val="00B96D97"/>
    <w:rsid w:val="00BB5929"/>
    <w:rsid w:val="00BC00DB"/>
    <w:rsid w:val="00BC2893"/>
    <w:rsid w:val="00BD0E04"/>
    <w:rsid w:val="00BF2526"/>
    <w:rsid w:val="00C1145C"/>
    <w:rsid w:val="00C12091"/>
    <w:rsid w:val="00C202BB"/>
    <w:rsid w:val="00C226F0"/>
    <w:rsid w:val="00C27B79"/>
    <w:rsid w:val="00C41386"/>
    <w:rsid w:val="00C8117D"/>
    <w:rsid w:val="00C856AE"/>
    <w:rsid w:val="00C85E24"/>
    <w:rsid w:val="00C85F0F"/>
    <w:rsid w:val="00C922DE"/>
    <w:rsid w:val="00C93BC3"/>
    <w:rsid w:val="00C94EDC"/>
    <w:rsid w:val="00CB0FE7"/>
    <w:rsid w:val="00CB2E55"/>
    <w:rsid w:val="00CC63A8"/>
    <w:rsid w:val="00CD31DE"/>
    <w:rsid w:val="00CE6FC9"/>
    <w:rsid w:val="00CE71B4"/>
    <w:rsid w:val="00CE7E52"/>
    <w:rsid w:val="00CF65F8"/>
    <w:rsid w:val="00D148A4"/>
    <w:rsid w:val="00D2309C"/>
    <w:rsid w:val="00D35D51"/>
    <w:rsid w:val="00D60D1D"/>
    <w:rsid w:val="00DA1648"/>
    <w:rsid w:val="00DB125C"/>
    <w:rsid w:val="00DE0DE1"/>
    <w:rsid w:val="00DE1CC1"/>
    <w:rsid w:val="00DE5501"/>
    <w:rsid w:val="00E11BB6"/>
    <w:rsid w:val="00E21ACF"/>
    <w:rsid w:val="00E62D6A"/>
    <w:rsid w:val="00E656A7"/>
    <w:rsid w:val="00E71CB3"/>
    <w:rsid w:val="00E74BC9"/>
    <w:rsid w:val="00E773C2"/>
    <w:rsid w:val="00E9759E"/>
    <w:rsid w:val="00EC2CCF"/>
    <w:rsid w:val="00F00923"/>
    <w:rsid w:val="00F0170D"/>
    <w:rsid w:val="00F052D4"/>
    <w:rsid w:val="00F27926"/>
    <w:rsid w:val="00F43FFA"/>
    <w:rsid w:val="00F655D2"/>
    <w:rsid w:val="00F81D87"/>
    <w:rsid w:val="00FB03EB"/>
    <w:rsid w:val="00FC21DC"/>
    <w:rsid w:val="00FD0C70"/>
    <w:rsid w:val="00FD2F88"/>
    <w:rsid w:val="00FD78EE"/>
    <w:rsid w:val="00FE59FA"/>
    <w:rsid w:val="00FF40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dat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stockticker"/>
  <w:shapeDefaults>
    <o:shapedefaults v:ext="edit" spidmax="2050"/>
    <o:shapelayout v:ext="edit">
      <o:idmap v:ext="edit" data="1"/>
    </o:shapelayout>
  </w:shapeDefaults>
  <w:decimalSymbol w:val="."/>
  <w:listSeparator w:val=","/>
  <w15:chartTrackingRefBased/>
  <w15:docId w15:val="{C2F48A45-3C11-4CF9-9528-8E7DB6084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926"/>
    <w:pPr>
      <w:spacing w:after="160" w:line="259" w:lineRule="auto"/>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5B63"/>
    <w:rPr>
      <w:rFonts w:cs="Times New Roman"/>
      <w:color w:val="0563C1"/>
      <w:u w:val="single"/>
    </w:rPr>
  </w:style>
  <w:style w:type="paragraph" w:styleId="FootnoteText">
    <w:name w:val="footnote text"/>
    <w:basedOn w:val="Normal"/>
    <w:link w:val="FootnoteTextChar"/>
    <w:uiPriority w:val="99"/>
    <w:semiHidden/>
    <w:unhideWhenUsed/>
    <w:rsid w:val="009A7C59"/>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9A7C59"/>
    <w:rPr>
      <w:rFonts w:cs="Times New Roman"/>
      <w:sz w:val="20"/>
      <w:szCs w:val="20"/>
    </w:rPr>
  </w:style>
  <w:style w:type="character" w:styleId="FootnoteReference">
    <w:name w:val="footnote reference"/>
    <w:basedOn w:val="DefaultParagraphFont"/>
    <w:uiPriority w:val="99"/>
    <w:semiHidden/>
    <w:unhideWhenUsed/>
    <w:rsid w:val="009A7C59"/>
    <w:rPr>
      <w:rFonts w:cs="Times New Roman"/>
      <w:vertAlign w:val="superscript"/>
    </w:rPr>
  </w:style>
  <w:style w:type="table" w:styleId="TableGrid">
    <w:name w:val="Table Grid"/>
    <w:basedOn w:val="TableNormal"/>
    <w:uiPriority w:val="59"/>
    <w:rsid w:val="009A7C5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A7C59"/>
    <w:rPr>
      <w:rFonts w:cs="Times New Roman"/>
      <w:color w:val="954F72"/>
      <w:u w:val="single"/>
    </w:rPr>
  </w:style>
  <w:style w:type="character" w:styleId="CommentReference">
    <w:name w:val="annotation reference"/>
    <w:basedOn w:val="DefaultParagraphFont"/>
    <w:uiPriority w:val="99"/>
    <w:semiHidden/>
    <w:unhideWhenUsed/>
    <w:rsid w:val="007F66B5"/>
    <w:rPr>
      <w:rFonts w:cs="Times New Roman"/>
      <w:sz w:val="16"/>
      <w:szCs w:val="16"/>
    </w:rPr>
  </w:style>
  <w:style w:type="paragraph" w:styleId="CommentText">
    <w:name w:val="annotation text"/>
    <w:basedOn w:val="Normal"/>
    <w:link w:val="CommentTextChar"/>
    <w:uiPriority w:val="99"/>
    <w:semiHidden/>
    <w:unhideWhenUsed/>
    <w:rsid w:val="007F66B5"/>
    <w:pPr>
      <w:spacing w:after="0" w:line="240" w:lineRule="auto"/>
    </w:pPr>
    <w:rPr>
      <w:sz w:val="20"/>
      <w:szCs w:val="20"/>
    </w:rPr>
  </w:style>
  <w:style w:type="character" w:customStyle="1" w:styleId="CommentTextChar">
    <w:name w:val="Comment Text Char"/>
    <w:basedOn w:val="DefaultParagraphFont"/>
    <w:link w:val="CommentText"/>
    <w:uiPriority w:val="99"/>
    <w:semiHidden/>
    <w:locked/>
    <w:rsid w:val="007F66B5"/>
    <w:rPr>
      <w:rFonts w:cs="Times New Roman"/>
      <w:sz w:val="20"/>
      <w:szCs w:val="20"/>
    </w:rPr>
  </w:style>
  <w:style w:type="paragraph" w:styleId="ListParagraph">
    <w:name w:val="List Paragraph"/>
    <w:basedOn w:val="Normal"/>
    <w:uiPriority w:val="34"/>
    <w:qFormat/>
    <w:rsid w:val="00D60D1D"/>
    <w:pPr>
      <w:ind w:left="720"/>
      <w:contextualSpacing/>
    </w:pPr>
  </w:style>
  <w:style w:type="paragraph" w:styleId="BalloonText">
    <w:name w:val="Balloon Text"/>
    <w:basedOn w:val="Normal"/>
    <w:link w:val="BalloonTextChar"/>
    <w:uiPriority w:val="99"/>
    <w:semiHidden/>
    <w:rsid w:val="002A2C0E"/>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customStyle="1" w:styleId="TableHeading-CWhite">
    <w:name w:val="TableHeading-C_White"/>
    <w:basedOn w:val="Normal"/>
    <w:qFormat/>
    <w:rsid w:val="003B1899"/>
    <w:pPr>
      <w:spacing w:before="40" w:after="20" w:line="240" w:lineRule="auto"/>
      <w:jc w:val="center"/>
    </w:pPr>
    <w:rPr>
      <w:rFonts w:ascii="Arial" w:hAnsi="Arial"/>
      <w:b/>
      <w:color w:val="FFFFFF"/>
      <w:sz w:val="20"/>
      <w:szCs w:val="20"/>
    </w:rPr>
  </w:style>
  <w:style w:type="paragraph" w:styleId="Revision">
    <w:name w:val="Revision"/>
    <w:hidden/>
    <w:uiPriority w:val="99"/>
    <w:semiHidden/>
    <w:rsid w:val="00CC63A8"/>
    <w:rPr>
      <w:rFonts w:cs="Times New Roman"/>
      <w:sz w:val="22"/>
      <w:szCs w:val="22"/>
    </w:rPr>
  </w:style>
  <w:style w:type="paragraph" w:customStyle="1" w:styleId="Default">
    <w:name w:val="Default"/>
    <w:rsid w:val="00F81D87"/>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semiHidden/>
    <w:unhideWhenUsed/>
    <w:rsid w:val="00664529"/>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unhideWhenUsed/>
    <w:rsid w:val="001A3AC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A3ACD"/>
    <w:rPr>
      <w:rFonts w:cs="Times New Roman"/>
      <w:sz w:val="22"/>
      <w:szCs w:val="22"/>
    </w:rPr>
  </w:style>
  <w:style w:type="paragraph" w:styleId="Footer">
    <w:name w:val="footer"/>
    <w:basedOn w:val="Normal"/>
    <w:link w:val="FooterChar"/>
    <w:uiPriority w:val="99"/>
    <w:unhideWhenUsed/>
    <w:rsid w:val="001A3AC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A3ACD"/>
    <w:rPr>
      <w:rFonts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9306084">
      <w:marLeft w:val="0"/>
      <w:marRight w:val="0"/>
      <w:marTop w:val="0"/>
      <w:marBottom w:val="0"/>
      <w:divBdr>
        <w:top w:val="none" w:sz="0" w:space="0" w:color="auto"/>
        <w:left w:val="none" w:sz="0" w:space="0" w:color="auto"/>
        <w:bottom w:val="none" w:sz="0" w:space="0" w:color="auto"/>
        <w:right w:val="none" w:sz="0" w:space="0" w:color="auto"/>
      </w:divBdr>
    </w:div>
    <w:div w:id="2019306086">
      <w:marLeft w:val="0"/>
      <w:marRight w:val="0"/>
      <w:marTop w:val="0"/>
      <w:marBottom w:val="0"/>
      <w:divBdr>
        <w:top w:val="none" w:sz="0" w:space="0" w:color="auto"/>
        <w:left w:val="none" w:sz="0" w:space="0" w:color="auto"/>
        <w:bottom w:val="none" w:sz="0" w:space="0" w:color="auto"/>
        <w:right w:val="none" w:sz="0" w:space="0" w:color="auto"/>
      </w:divBdr>
      <w:divsChild>
        <w:div w:id="2019306085">
          <w:marLeft w:val="0"/>
          <w:marRight w:val="0"/>
          <w:marTop w:val="67"/>
          <w:marBottom w:val="0"/>
          <w:divBdr>
            <w:top w:val="none" w:sz="0" w:space="0" w:color="auto"/>
            <w:left w:val="none" w:sz="0" w:space="0" w:color="auto"/>
            <w:bottom w:val="none" w:sz="0" w:space="0" w:color="auto"/>
            <w:right w:val="none" w:sz="0" w:space="0" w:color="auto"/>
          </w:divBdr>
        </w:div>
        <w:div w:id="2019306088">
          <w:marLeft w:val="0"/>
          <w:marRight w:val="0"/>
          <w:marTop w:val="67"/>
          <w:marBottom w:val="0"/>
          <w:divBdr>
            <w:top w:val="none" w:sz="0" w:space="0" w:color="auto"/>
            <w:left w:val="none" w:sz="0" w:space="0" w:color="auto"/>
            <w:bottom w:val="none" w:sz="0" w:space="0" w:color="auto"/>
            <w:right w:val="none" w:sz="0" w:space="0" w:color="auto"/>
          </w:divBdr>
        </w:div>
        <w:div w:id="2019306089">
          <w:marLeft w:val="0"/>
          <w:marRight w:val="0"/>
          <w:marTop w:val="67"/>
          <w:marBottom w:val="0"/>
          <w:divBdr>
            <w:top w:val="none" w:sz="0" w:space="0" w:color="auto"/>
            <w:left w:val="none" w:sz="0" w:space="0" w:color="auto"/>
            <w:bottom w:val="none" w:sz="0" w:space="0" w:color="auto"/>
            <w:right w:val="none" w:sz="0" w:space="0" w:color="auto"/>
          </w:divBdr>
        </w:div>
        <w:div w:id="2019306092">
          <w:marLeft w:val="0"/>
          <w:marRight w:val="0"/>
          <w:marTop w:val="67"/>
          <w:marBottom w:val="0"/>
          <w:divBdr>
            <w:top w:val="none" w:sz="0" w:space="0" w:color="auto"/>
            <w:left w:val="none" w:sz="0" w:space="0" w:color="auto"/>
            <w:bottom w:val="none" w:sz="0" w:space="0" w:color="auto"/>
            <w:right w:val="none" w:sz="0" w:space="0" w:color="auto"/>
          </w:divBdr>
        </w:div>
        <w:div w:id="2019306093">
          <w:marLeft w:val="0"/>
          <w:marRight w:val="0"/>
          <w:marTop w:val="67"/>
          <w:marBottom w:val="0"/>
          <w:divBdr>
            <w:top w:val="none" w:sz="0" w:space="0" w:color="auto"/>
            <w:left w:val="none" w:sz="0" w:space="0" w:color="auto"/>
            <w:bottom w:val="none" w:sz="0" w:space="0" w:color="auto"/>
            <w:right w:val="none" w:sz="0" w:space="0" w:color="auto"/>
          </w:divBdr>
        </w:div>
        <w:div w:id="2019306094">
          <w:marLeft w:val="0"/>
          <w:marRight w:val="0"/>
          <w:marTop w:val="67"/>
          <w:marBottom w:val="0"/>
          <w:divBdr>
            <w:top w:val="none" w:sz="0" w:space="0" w:color="auto"/>
            <w:left w:val="none" w:sz="0" w:space="0" w:color="auto"/>
            <w:bottom w:val="none" w:sz="0" w:space="0" w:color="auto"/>
            <w:right w:val="none" w:sz="0" w:space="0" w:color="auto"/>
          </w:divBdr>
        </w:div>
      </w:divsChild>
    </w:div>
    <w:div w:id="2019306087">
      <w:marLeft w:val="0"/>
      <w:marRight w:val="0"/>
      <w:marTop w:val="0"/>
      <w:marBottom w:val="0"/>
      <w:divBdr>
        <w:top w:val="none" w:sz="0" w:space="0" w:color="auto"/>
        <w:left w:val="none" w:sz="0" w:space="0" w:color="auto"/>
        <w:bottom w:val="none" w:sz="0" w:space="0" w:color="auto"/>
        <w:right w:val="none" w:sz="0" w:space="0" w:color="auto"/>
      </w:divBdr>
    </w:div>
    <w:div w:id="2019306090">
      <w:marLeft w:val="0"/>
      <w:marRight w:val="0"/>
      <w:marTop w:val="0"/>
      <w:marBottom w:val="0"/>
      <w:divBdr>
        <w:top w:val="none" w:sz="0" w:space="0" w:color="auto"/>
        <w:left w:val="none" w:sz="0" w:space="0" w:color="auto"/>
        <w:bottom w:val="none" w:sz="0" w:space="0" w:color="auto"/>
        <w:right w:val="none" w:sz="0" w:space="0" w:color="auto"/>
      </w:divBdr>
    </w:div>
    <w:div w:id="2019306091">
      <w:marLeft w:val="0"/>
      <w:marRight w:val="0"/>
      <w:marTop w:val="0"/>
      <w:marBottom w:val="0"/>
      <w:divBdr>
        <w:top w:val="none" w:sz="0" w:space="0" w:color="auto"/>
        <w:left w:val="none" w:sz="0" w:space="0" w:color="auto"/>
        <w:bottom w:val="none" w:sz="0" w:space="0" w:color="auto"/>
        <w:right w:val="none" w:sz="0" w:space="0" w:color="auto"/>
      </w:divBdr>
    </w:div>
    <w:div w:id="2019306095">
      <w:marLeft w:val="0"/>
      <w:marRight w:val="0"/>
      <w:marTop w:val="0"/>
      <w:marBottom w:val="0"/>
      <w:divBdr>
        <w:top w:val="none" w:sz="0" w:space="0" w:color="auto"/>
        <w:left w:val="none" w:sz="0" w:space="0" w:color="auto"/>
        <w:bottom w:val="none" w:sz="0" w:space="0" w:color="auto"/>
        <w:right w:val="none" w:sz="0" w:space="0" w:color="auto"/>
      </w:divBdr>
    </w:div>
    <w:div w:id="2019306096">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healthinsurance.org/nevada/" TargetMode="External"/><Relationship Id="rId3" Type="http://schemas.openxmlformats.org/officeDocument/2006/relationships/hyperlink" Target="http://vegasinc.com/business/tourism/2013/sep/11/nevadas-foreclosure-rate-back-highest-us-report-sa/" TargetMode="External"/><Relationship Id="rId7" Type="http://schemas.openxmlformats.org/officeDocument/2006/relationships/hyperlink" Target="http://www.shadac.org/publications/state-level-trends-childrens-health-insurance-coverage-2016-report" TargetMode="External"/><Relationship Id="rId12" Type="http://schemas.openxmlformats.org/officeDocument/2006/relationships/hyperlink" Target="http://medicine.nevada.edu/statewide/reports/data-book-2015" TargetMode="External"/><Relationship Id="rId2" Type="http://schemas.openxmlformats.org/officeDocument/2006/relationships/hyperlink" Target="http://money.cnn.com/galleries/2010/pf/1012/gallery.fastest_growing_states/" TargetMode="External"/><Relationship Id="rId1" Type="http://schemas.openxmlformats.org/officeDocument/2006/relationships/hyperlink" Target="http://quickfacts.census.gov/qfd/states/32000.html" TargetMode="External"/><Relationship Id="rId6" Type="http://schemas.openxmlformats.org/officeDocument/2006/relationships/hyperlink" Target="http://www.newsmax.com/FastFeatures/industries-nevada-economy/2015/04/14/id/638269/" TargetMode="External"/><Relationship Id="rId11" Type="http://schemas.openxmlformats.org/officeDocument/2006/relationships/hyperlink" Target="http://www.ada.org/en/science-research/health-policy-institute/data-center/supply-of-dentists" TargetMode="External"/><Relationship Id="rId5" Type="http://schemas.openxmlformats.org/officeDocument/2006/relationships/hyperlink" Target="http://www.culinaryunion226.org/" TargetMode="External"/><Relationship Id="rId10" Type="http://schemas.openxmlformats.org/officeDocument/2006/relationships/hyperlink" Target="https://www.aamc.org/data/" TargetMode="External"/><Relationship Id="rId4" Type="http://schemas.openxmlformats.org/officeDocument/2006/relationships/hyperlink" Target="http://www.nevadaworkforce.com/" TargetMode="External"/><Relationship Id="rId9" Type="http://schemas.openxmlformats.org/officeDocument/2006/relationships/hyperlink" Target="http://dpbh.staging.nv.gov/Programs/TitleV/dta/Publications/TitleV_-_Publications/"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mailto:ljhale@health.nv.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9636</Words>
  <Characters>54931</Characters>
  <Application>Microsoft Office Word</Application>
  <DocSecurity>4</DocSecurity>
  <Lines>457</Lines>
  <Paragraphs>128</Paragraphs>
  <ScaleCrop>false</ScaleCrop>
  <HeadingPairs>
    <vt:vector size="2" baseType="variant">
      <vt:variant>
        <vt:lpstr>Title</vt:lpstr>
      </vt:variant>
      <vt:variant>
        <vt:i4>1</vt:i4>
      </vt:variant>
    </vt:vector>
  </HeadingPairs>
  <TitlesOfParts>
    <vt:vector size="1" baseType="lpstr">
      <vt:lpstr>NCC-U68 2016 State Needs Assessment</vt:lpstr>
    </vt:vector>
  </TitlesOfParts>
  <Company>State of Nevada</Company>
  <LinksUpToDate>false</LinksUpToDate>
  <CharactersWithSpaces>64439</CharactersWithSpaces>
  <SharedDoc>false</SharedDoc>
  <HLinks>
    <vt:vector size="78" baseType="variant">
      <vt:variant>
        <vt:i4>3539053</vt:i4>
      </vt:variant>
      <vt:variant>
        <vt:i4>33</vt:i4>
      </vt:variant>
      <vt:variant>
        <vt:i4>0</vt:i4>
      </vt:variant>
      <vt:variant>
        <vt:i4>5</vt:i4>
      </vt:variant>
      <vt:variant>
        <vt:lpwstr>http://medicine.nevada.edu/statewide/reports/data-book-2015</vt:lpwstr>
      </vt:variant>
      <vt:variant>
        <vt:lpwstr/>
      </vt:variant>
      <vt:variant>
        <vt:i4>1703945</vt:i4>
      </vt:variant>
      <vt:variant>
        <vt:i4>30</vt:i4>
      </vt:variant>
      <vt:variant>
        <vt:i4>0</vt:i4>
      </vt:variant>
      <vt:variant>
        <vt:i4>5</vt:i4>
      </vt:variant>
      <vt:variant>
        <vt:lpwstr>http://www.ada.org/en/science-research/health-policy-institute/data-center/supply-of-dentists</vt:lpwstr>
      </vt:variant>
      <vt:variant>
        <vt:lpwstr/>
      </vt:variant>
      <vt:variant>
        <vt:i4>8192063</vt:i4>
      </vt:variant>
      <vt:variant>
        <vt:i4>27</vt:i4>
      </vt:variant>
      <vt:variant>
        <vt:i4>0</vt:i4>
      </vt:variant>
      <vt:variant>
        <vt:i4>5</vt:i4>
      </vt:variant>
      <vt:variant>
        <vt:lpwstr>https://www.aamc.org/data/</vt:lpwstr>
      </vt:variant>
      <vt:variant>
        <vt:lpwstr/>
      </vt:variant>
      <vt:variant>
        <vt:i4>3145854</vt:i4>
      </vt:variant>
      <vt:variant>
        <vt:i4>24</vt:i4>
      </vt:variant>
      <vt:variant>
        <vt:i4>0</vt:i4>
      </vt:variant>
      <vt:variant>
        <vt:i4>5</vt:i4>
      </vt:variant>
      <vt:variant>
        <vt:lpwstr>http://dpbh.staging.nv.gov/Programs/TitleV/dta/Publications/TitleV_-_Publications/</vt:lpwstr>
      </vt:variant>
      <vt:variant>
        <vt:lpwstr/>
      </vt:variant>
      <vt:variant>
        <vt:i4>2490410</vt:i4>
      </vt:variant>
      <vt:variant>
        <vt:i4>21</vt:i4>
      </vt:variant>
      <vt:variant>
        <vt:i4>0</vt:i4>
      </vt:variant>
      <vt:variant>
        <vt:i4>5</vt:i4>
      </vt:variant>
      <vt:variant>
        <vt:lpwstr>https://www.healthinsurance.org/nevada/</vt:lpwstr>
      </vt:variant>
      <vt:variant>
        <vt:lpwstr/>
      </vt:variant>
      <vt:variant>
        <vt:i4>786524</vt:i4>
      </vt:variant>
      <vt:variant>
        <vt:i4>18</vt:i4>
      </vt:variant>
      <vt:variant>
        <vt:i4>0</vt:i4>
      </vt:variant>
      <vt:variant>
        <vt:i4>5</vt:i4>
      </vt:variant>
      <vt:variant>
        <vt:lpwstr>http://www.shadac.org/publications/state-level-trends-childrens-health-insurance-coverage-2016-report</vt:lpwstr>
      </vt:variant>
      <vt:variant>
        <vt:lpwstr/>
      </vt:variant>
      <vt:variant>
        <vt:i4>4128811</vt:i4>
      </vt:variant>
      <vt:variant>
        <vt:i4>15</vt:i4>
      </vt:variant>
      <vt:variant>
        <vt:i4>0</vt:i4>
      </vt:variant>
      <vt:variant>
        <vt:i4>5</vt:i4>
      </vt:variant>
      <vt:variant>
        <vt:lpwstr>http://www.newsmax.com/FastFeatures/industries-nevada-economy/2015/04/14/id/638269/</vt:lpwstr>
      </vt:variant>
      <vt:variant>
        <vt:lpwstr/>
      </vt:variant>
      <vt:variant>
        <vt:i4>720985</vt:i4>
      </vt:variant>
      <vt:variant>
        <vt:i4>12</vt:i4>
      </vt:variant>
      <vt:variant>
        <vt:i4>0</vt:i4>
      </vt:variant>
      <vt:variant>
        <vt:i4>5</vt:i4>
      </vt:variant>
      <vt:variant>
        <vt:lpwstr>http://www.culinaryunion226.org/</vt:lpwstr>
      </vt:variant>
      <vt:variant>
        <vt:lpwstr/>
      </vt:variant>
      <vt:variant>
        <vt:i4>2949244</vt:i4>
      </vt:variant>
      <vt:variant>
        <vt:i4>9</vt:i4>
      </vt:variant>
      <vt:variant>
        <vt:i4>0</vt:i4>
      </vt:variant>
      <vt:variant>
        <vt:i4>5</vt:i4>
      </vt:variant>
      <vt:variant>
        <vt:lpwstr>http://www.nevadaworkforce.com/</vt:lpwstr>
      </vt:variant>
      <vt:variant>
        <vt:lpwstr/>
      </vt:variant>
      <vt:variant>
        <vt:i4>5439567</vt:i4>
      </vt:variant>
      <vt:variant>
        <vt:i4>6</vt:i4>
      </vt:variant>
      <vt:variant>
        <vt:i4>0</vt:i4>
      </vt:variant>
      <vt:variant>
        <vt:i4>5</vt:i4>
      </vt:variant>
      <vt:variant>
        <vt:lpwstr>http://vegasinc.com/business/tourism/2013/sep/11/nevadas-foreclosure-rate-back-highest-us-report-sa/</vt:lpwstr>
      </vt:variant>
      <vt:variant>
        <vt:lpwstr/>
      </vt:variant>
      <vt:variant>
        <vt:i4>7077927</vt:i4>
      </vt:variant>
      <vt:variant>
        <vt:i4>3</vt:i4>
      </vt:variant>
      <vt:variant>
        <vt:i4>0</vt:i4>
      </vt:variant>
      <vt:variant>
        <vt:i4>5</vt:i4>
      </vt:variant>
      <vt:variant>
        <vt:lpwstr>http://money.cnn.com/galleries/2010/pf/1012/gallery.fastest_growing_states/</vt:lpwstr>
      </vt:variant>
      <vt:variant>
        <vt:lpwstr/>
      </vt:variant>
      <vt:variant>
        <vt:i4>7209075</vt:i4>
      </vt:variant>
      <vt:variant>
        <vt:i4>0</vt:i4>
      </vt:variant>
      <vt:variant>
        <vt:i4>0</vt:i4>
      </vt:variant>
      <vt:variant>
        <vt:i4>5</vt:i4>
      </vt:variant>
      <vt:variant>
        <vt:lpwstr>http://quickfacts.census.gov/qfd/states/32000.html</vt:lpwstr>
      </vt:variant>
      <vt:variant>
        <vt:lpwstr/>
      </vt:variant>
      <vt:variant>
        <vt:i4>262246</vt:i4>
      </vt:variant>
      <vt:variant>
        <vt:i4>3</vt:i4>
      </vt:variant>
      <vt:variant>
        <vt:i4>0</vt:i4>
      </vt:variant>
      <vt:variant>
        <vt:i4>5</vt:i4>
      </vt:variant>
      <vt:variant>
        <vt:lpwstr>mailto:ljhale@health.nv.gov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NCC-U68 2016 State Needs Assessment</dc:title>
  <dc:subject/>
  <dc:creator>Laura J. Hale</dc:creator>
  <cp:keywords/>
  <dc:description/>
  <cp:lastModifiedBy>Laura J. Hale</cp:lastModifiedBy>
  <cp:revision>2</cp:revision>
  <cp:lastPrinted>2016-03-08T00:07:00Z</cp:lastPrinted>
  <dcterms:created xsi:type="dcterms:W3CDTF">2016-03-17T15:54:00Z</dcterms:created>
  <dcterms:modified xsi:type="dcterms:W3CDTF">2016-03-17T15:54:00Z</dcterms:modified>
</cp:coreProperties>
</file>